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7F12E1">
      <w:pPr>
        <w:spacing w:line="520" w:lineRule="exact"/>
      </w:pPr>
      <w:r>
        <w:drawing>
          <wp:anchor distT="0" distB="0" distL="114300" distR="114300" simplePos="0" relativeHeight="251659264" behindDoc="0" locked="0" layoutInCell="1" allowOverlap="1">
            <wp:simplePos x="0" y="0"/>
            <wp:positionH relativeFrom="column">
              <wp:posOffset>1180465</wp:posOffset>
            </wp:positionH>
            <wp:positionV relativeFrom="page">
              <wp:posOffset>1430655</wp:posOffset>
            </wp:positionV>
            <wp:extent cx="3002915" cy="1004570"/>
            <wp:effectExtent l="0" t="0" r="6985" b="5080"/>
            <wp:wrapSquare wrapText="bothSides"/>
            <wp:docPr id="5" name="Picture 2" descr="C:\Users\Administrator\Desktop\云金集团logo 有字.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C:\Users\Administrator\Desktop\云金集团logo 有字.png"/>
                    <pic:cNvPicPr>
                      <a:picLocks noChangeAspect="1"/>
                    </pic:cNvPicPr>
                  </pic:nvPicPr>
                  <pic:blipFill>
                    <a:blip r:embed="rId12"/>
                    <a:stretch>
                      <a:fillRect/>
                    </a:stretch>
                  </pic:blipFill>
                  <pic:spPr>
                    <a:xfrm>
                      <a:off x="0" y="0"/>
                      <a:ext cx="3002915" cy="1004570"/>
                    </a:xfrm>
                    <a:prstGeom prst="rect">
                      <a:avLst/>
                    </a:prstGeom>
                    <a:noFill/>
                    <a:ln w="9525">
                      <a:noFill/>
                    </a:ln>
                  </pic:spPr>
                </pic:pic>
              </a:graphicData>
            </a:graphic>
          </wp:anchor>
        </w:drawing>
      </w:r>
    </w:p>
    <w:p w14:paraId="4A0448C2">
      <w:pPr>
        <w:spacing w:line="520" w:lineRule="exact"/>
      </w:pPr>
    </w:p>
    <w:p w14:paraId="21682075">
      <w:pPr>
        <w:spacing w:line="520" w:lineRule="exact"/>
        <w:ind w:firstLine="640"/>
        <w:jc w:val="center"/>
        <w:rPr>
          <w:sz w:val="32"/>
          <w:szCs w:val="32"/>
        </w:rPr>
      </w:pPr>
    </w:p>
    <w:p w14:paraId="32B1E426">
      <w:pPr>
        <w:spacing w:line="520" w:lineRule="exact"/>
        <w:ind w:firstLine="880"/>
        <w:jc w:val="center"/>
        <w:rPr>
          <w:sz w:val="44"/>
          <w:szCs w:val="44"/>
        </w:rPr>
      </w:pPr>
    </w:p>
    <w:p w14:paraId="6E9685C9">
      <w:pPr>
        <w:spacing w:line="520" w:lineRule="exact"/>
        <w:ind w:firstLine="880"/>
        <w:jc w:val="center"/>
        <w:rPr>
          <w:sz w:val="44"/>
          <w:szCs w:val="44"/>
        </w:rPr>
      </w:pPr>
    </w:p>
    <w:p w14:paraId="6D8A4FC2">
      <w:pPr>
        <w:spacing w:line="520" w:lineRule="exact"/>
        <w:ind w:firstLine="0" w:firstLineChars="0"/>
        <w:jc w:val="center"/>
        <w:rPr>
          <w:sz w:val="32"/>
          <w:szCs w:val="32"/>
        </w:rPr>
      </w:pPr>
      <w:r>
        <w:rPr>
          <w:sz w:val="32"/>
          <w:szCs w:val="32"/>
        </w:rPr>
        <w:drawing>
          <wp:anchor distT="0" distB="0" distL="0" distR="0" simplePos="0" relativeHeight="251660288" behindDoc="0" locked="0" layoutInCell="1" allowOverlap="1">
            <wp:simplePos x="0" y="0"/>
            <wp:positionH relativeFrom="column">
              <wp:posOffset>1496060</wp:posOffset>
            </wp:positionH>
            <wp:positionV relativeFrom="page">
              <wp:posOffset>2613025</wp:posOffset>
            </wp:positionV>
            <wp:extent cx="2192655" cy="960755"/>
            <wp:effectExtent l="0" t="0" r="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192655" cy="960755"/>
                    </a:xfrm>
                    <a:prstGeom prst="rect">
                      <a:avLst/>
                    </a:prstGeom>
                    <a:noFill/>
                    <a:ln>
                      <a:noFill/>
                    </a:ln>
                  </pic:spPr>
                </pic:pic>
              </a:graphicData>
            </a:graphic>
          </wp:anchor>
        </w:drawing>
      </w:r>
      <w:r>
        <w:rPr>
          <w:rFonts w:hint="eastAsia"/>
          <w:sz w:val="32"/>
          <w:szCs w:val="32"/>
        </w:rPr>
        <w:t>云南滇金投资有限公司</w:t>
      </w:r>
    </w:p>
    <w:p w14:paraId="2FF41362">
      <w:pPr>
        <w:spacing w:line="520" w:lineRule="exact"/>
        <w:ind w:firstLine="640"/>
        <w:jc w:val="center"/>
        <w:rPr>
          <w:sz w:val="32"/>
          <w:szCs w:val="32"/>
        </w:rPr>
      </w:pPr>
      <w:r>
        <w:rPr>
          <w:sz w:val="32"/>
          <w:szCs w:val="32"/>
        </w:rPr>
        <w:t>Yunnan Dianjin Investment Co., Ltd.</w:t>
      </w:r>
    </w:p>
    <w:p w14:paraId="42E1C59B">
      <w:pPr>
        <w:spacing w:line="520" w:lineRule="exact"/>
        <w:ind w:firstLine="640"/>
        <w:jc w:val="center"/>
        <w:rPr>
          <w:sz w:val="32"/>
          <w:szCs w:val="32"/>
        </w:rPr>
      </w:pPr>
    </w:p>
    <w:p w14:paraId="2D8686E6">
      <w:pPr>
        <w:spacing w:line="520" w:lineRule="exact"/>
        <w:ind w:firstLine="640"/>
        <w:jc w:val="center"/>
        <w:rPr>
          <w:sz w:val="32"/>
          <w:szCs w:val="32"/>
        </w:rPr>
      </w:pPr>
      <w:r>
        <w:rPr>
          <w:rFonts w:hint="eastAsia"/>
          <w:sz w:val="32"/>
          <w:szCs w:val="32"/>
        </w:rPr>
        <w:t>2025年度供应链尽职管理合规报告</w:t>
      </w:r>
    </w:p>
    <w:p w14:paraId="4570AE7C">
      <w:pPr>
        <w:spacing w:line="520" w:lineRule="exact"/>
        <w:ind w:firstLine="640"/>
        <w:jc w:val="center"/>
        <w:rPr>
          <w:sz w:val="32"/>
          <w:szCs w:val="32"/>
        </w:rPr>
      </w:pPr>
      <w:r>
        <w:rPr>
          <w:rFonts w:hint="eastAsia"/>
          <w:sz w:val="32"/>
          <w:szCs w:val="32"/>
        </w:rPr>
        <w:t>2025</w:t>
      </w:r>
      <w:r>
        <w:rPr>
          <w:sz w:val="32"/>
          <w:szCs w:val="32"/>
        </w:rPr>
        <w:t xml:space="preserve"> Supply Chain Due Diligence Management Compliance Report</w:t>
      </w:r>
    </w:p>
    <w:p w14:paraId="0EE29EE5">
      <w:pPr>
        <w:spacing w:line="520" w:lineRule="exact"/>
      </w:pPr>
    </w:p>
    <w:p w14:paraId="26F6747C">
      <w:pPr>
        <w:spacing w:line="520" w:lineRule="exact"/>
      </w:pPr>
    </w:p>
    <w:p w14:paraId="57DF82DA">
      <w:pPr>
        <w:spacing w:line="520" w:lineRule="exact"/>
      </w:pPr>
    </w:p>
    <w:p w14:paraId="34ABBBD0">
      <w:pPr>
        <w:spacing w:line="520" w:lineRule="exact"/>
      </w:pPr>
    </w:p>
    <w:p w14:paraId="3B50F381">
      <w:pPr>
        <w:spacing w:line="520" w:lineRule="exact"/>
        <w:ind w:firstLine="640"/>
        <w:rPr>
          <w:sz w:val="32"/>
          <w:szCs w:val="40"/>
        </w:rPr>
      </w:pPr>
    </w:p>
    <w:p w14:paraId="2B9A66A5">
      <w:pPr>
        <w:spacing w:line="520" w:lineRule="exact"/>
      </w:pPr>
    </w:p>
    <w:p w14:paraId="5D60860E">
      <w:pPr>
        <w:spacing w:line="520" w:lineRule="exact"/>
      </w:pPr>
    </w:p>
    <w:p w14:paraId="5E6A1D1F">
      <w:pPr>
        <w:spacing w:line="520" w:lineRule="exact"/>
      </w:pPr>
    </w:p>
    <w:p w14:paraId="1775F8FD">
      <w:pPr>
        <w:spacing w:line="520" w:lineRule="exact"/>
      </w:pPr>
    </w:p>
    <w:p w14:paraId="3635C872">
      <w:pPr>
        <w:spacing w:line="520" w:lineRule="exact"/>
      </w:pPr>
    </w:p>
    <w:p w14:paraId="5B03B72D">
      <w:pPr>
        <w:spacing w:line="520" w:lineRule="exact"/>
        <w:ind w:firstLine="560"/>
        <w:jc w:val="center"/>
        <w:rPr>
          <w:sz w:val="28"/>
          <w:szCs w:val="28"/>
        </w:rPr>
      </w:pPr>
      <w:r>
        <w:rPr>
          <w:rFonts w:hint="eastAsia"/>
          <w:sz w:val="28"/>
          <w:szCs w:val="28"/>
        </w:rPr>
        <w:t>2026年01月20日</w:t>
      </w:r>
    </w:p>
    <w:p w14:paraId="38972F5C">
      <w:pPr>
        <w:spacing w:line="520" w:lineRule="exact"/>
        <w:ind w:firstLine="560"/>
        <w:jc w:val="center"/>
        <w:rPr>
          <w:sz w:val="28"/>
          <w:szCs w:val="28"/>
        </w:rPr>
      </w:pPr>
      <w:r>
        <w:rPr>
          <w:rFonts w:hint="eastAsia"/>
          <w:sz w:val="28"/>
          <w:szCs w:val="28"/>
        </w:rPr>
        <w:t>January</w:t>
      </w:r>
      <w:r>
        <w:rPr>
          <w:sz w:val="28"/>
          <w:szCs w:val="28"/>
        </w:rPr>
        <w:t xml:space="preserve"> </w:t>
      </w:r>
      <w:r>
        <w:rPr>
          <w:rFonts w:hint="eastAsia"/>
          <w:sz w:val="28"/>
          <w:szCs w:val="28"/>
        </w:rPr>
        <w:t>20</w:t>
      </w:r>
      <w:r>
        <w:rPr>
          <w:sz w:val="28"/>
          <w:szCs w:val="28"/>
        </w:rPr>
        <w:t>, 202</w:t>
      </w:r>
      <w:r>
        <w:rPr>
          <w:rFonts w:hint="eastAsia"/>
          <w:sz w:val="28"/>
          <w:szCs w:val="28"/>
        </w:rPr>
        <w:t>6</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6004"/>
      </w:tblGrid>
      <w:tr w14:paraId="7DE62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14:paraId="7E7373BA">
            <w:pPr>
              <w:spacing w:line="520" w:lineRule="exact"/>
              <w:ind w:firstLine="0" w:firstLineChars="0"/>
              <w:jc w:val="left"/>
              <w:rPr>
                <w:sz w:val="21"/>
                <w:szCs w:val="24"/>
              </w:rPr>
            </w:pPr>
            <w:r>
              <w:rPr>
                <w:rFonts w:hint="eastAsia"/>
                <w:sz w:val="21"/>
                <w:szCs w:val="24"/>
              </w:rPr>
              <w:t>公司名称</w:t>
            </w:r>
          </w:p>
          <w:p w14:paraId="71A2D82E">
            <w:pPr>
              <w:spacing w:line="520" w:lineRule="exact"/>
              <w:ind w:firstLine="0" w:firstLineChars="0"/>
              <w:jc w:val="left"/>
              <w:rPr>
                <w:sz w:val="21"/>
                <w:szCs w:val="24"/>
              </w:rPr>
            </w:pPr>
            <w:r>
              <w:rPr>
                <w:rFonts w:hint="eastAsia"/>
                <w:sz w:val="21"/>
                <w:szCs w:val="24"/>
              </w:rPr>
              <w:t>Company name</w:t>
            </w:r>
          </w:p>
        </w:tc>
        <w:tc>
          <w:tcPr>
            <w:tcW w:w="6004" w:type="dxa"/>
          </w:tcPr>
          <w:p w14:paraId="475709C3">
            <w:pPr>
              <w:spacing w:line="520" w:lineRule="exact"/>
              <w:ind w:firstLine="0" w:firstLineChars="0"/>
              <w:jc w:val="left"/>
              <w:rPr>
                <w:sz w:val="21"/>
                <w:szCs w:val="24"/>
              </w:rPr>
            </w:pPr>
            <w:r>
              <w:rPr>
                <w:rFonts w:hint="eastAsia"/>
                <w:sz w:val="21"/>
                <w:szCs w:val="24"/>
              </w:rPr>
              <w:t>云南滇金投资有限公司</w:t>
            </w:r>
          </w:p>
          <w:p w14:paraId="0F4C51AD">
            <w:pPr>
              <w:spacing w:line="520" w:lineRule="exact"/>
              <w:ind w:firstLine="0" w:firstLineChars="0"/>
              <w:jc w:val="left"/>
              <w:rPr>
                <w:sz w:val="21"/>
                <w:szCs w:val="24"/>
              </w:rPr>
            </w:pPr>
            <w:r>
              <w:rPr>
                <w:sz w:val="21"/>
                <w:szCs w:val="24"/>
              </w:rPr>
              <w:t>Yunnan Dianjin Investment Co., Ltd.</w:t>
            </w:r>
          </w:p>
        </w:tc>
      </w:tr>
      <w:tr w14:paraId="7A5C6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14:paraId="3A73BF98">
            <w:pPr>
              <w:spacing w:line="520" w:lineRule="exact"/>
              <w:ind w:firstLine="0" w:firstLineChars="0"/>
              <w:jc w:val="left"/>
              <w:rPr>
                <w:sz w:val="21"/>
                <w:szCs w:val="24"/>
              </w:rPr>
            </w:pPr>
            <w:r>
              <w:rPr>
                <w:rFonts w:hint="eastAsia"/>
                <w:sz w:val="21"/>
                <w:szCs w:val="24"/>
              </w:rPr>
              <w:t>注册地址</w:t>
            </w:r>
          </w:p>
          <w:p w14:paraId="00B916E0">
            <w:pPr>
              <w:spacing w:line="520" w:lineRule="exact"/>
              <w:ind w:firstLine="0" w:firstLineChars="0"/>
              <w:jc w:val="left"/>
              <w:rPr>
                <w:rFonts w:hint="eastAsia"/>
                <w:sz w:val="21"/>
                <w:szCs w:val="24"/>
              </w:rPr>
            </w:pPr>
            <w:r>
              <w:rPr>
                <w:rFonts w:hint="eastAsia"/>
              </w:rPr>
              <w:t>Registered Add</w:t>
            </w:r>
          </w:p>
        </w:tc>
        <w:tc>
          <w:tcPr>
            <w:tcW w:w="6004" w:type="dxa"/>
          </w:tcPr>
          <w:p w14:paraId="0C7111FA">
            <w:pPr>
              <w:spacing w:line="520" w:lineRule="exact"/>
              <w:ind w:firstLine="0" w:firstLineChars="0"/>
              <w:jc w:val="left"/>
              <w:rPr>
                <w:sz w:val="21"/>
                <w:szCs w:val="24"/>
              </w:rPr>
            </w:pPr>
            <w:r>
              <w:rPr>
                <w:rFonts w:hint="eastAsia"/>
                <w:sz w:val="21"/>
                <w:szCs w:val="24"/>
              </w:rPr>
              <w:t>云南省昆明市安宁市草铺街道办事处民安路8号</w:t>
            </w:r>
          </w:p>
          <w:p w14:paraId="57AF47A5">
            <w:pPr>
              <w:spacing w:line="520" w:lineRule="exact"/>
              <w:ind w:firstLine="0" w:firstLineChars="0"/>
              <w:jc w:val="both"/>
              <w:rPr>
                <w:sz w:val="21"/>
                <w:szCs w:val="24"/>
              </w:rPr>
            </w:pPr>
            <w:r>
              <w:t xml:space="preserve">No. 8 Ming'an Road, Caopu Street Office, Anning City, Kunming City, Yunnan Province, China </w:t>
            </w:r>
          </w:p>
        </w:tc>
      </w:tr>
      <w:tr w14:paraId="02DAB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14:paraId="1DA82FFA">
            <w:pPr>
              <w:spacing w:line="520" w:lineRule="exact"/>
              <w:ind w:firstLine="0" w:firstLineChars="0"/>
              <w:jc w:val="left"/>
            </w:pPr>
            <w:r>
              <w:rPr>
                <w:rFonts w:hint="eastAsia"/>
              </w:rPr>
              <w:t>生产地址</w:t>
            </w:r>
          </w:p>
          <w:p w14:paraId="470B8081">
            <w:pPr>
              <w:spacing w:line="520" w:lineRule="exact"/>
              <w:ind w:firstLine="0" w:firstLineChars="0"/>
              <w:jc w:val="left"/>
              <w:rPr>
                <w:rFonts w:hint="eastAsia"/>
                <w:sz w:val="21"/>
                <w:szCs w:val="21"/>
              </w:rPr>
            </w:pPr>
            <w:r>
              <w:t>Operation and Refining Address</w:t>
            </w:r>
          </w:p>
        </w:tc>
        <w:tc>
          <w:tcPr>
            <w:tcW w:w="6004" w:type="dxa"/>
          </w:tcPr>
          <w:p w14:paraId="31FE4686">
            <w:pPr>
              <w:spacing w:line="520" w:lineRule="exact"/>
              <w:ind w:firstLine="0" w:firstLineChars="0"/>
            </w:pPr>
            <w:r>
              <w:rPr>
                <w:rFonts w:hint="eastAsia"/>
              </w:rPr>
              <w:t>云南省昆明市安宁市草铺街道办事处民安路7号</w:t>
            </w:r>
          </w:p>
          <w:p w14:paraId="1F4DB30D">
            <w:pPr>
              <w:spacing w:line="520" w:lineRule="exact"/>
              <w:ind w:firstLine="0" w:firstLineChars="0"/>
              <w:rPr>
                <w:rFonts w:hint="eastAsia"/>
                <w:sz w:val="21"/>
                <w:szCs w:val="24"/>
              </w:rPr>
            </w:pPr>
            <w:r>
              <w:rPr>
                <w:rFonts w:hint="eastAsia"/>
              </w:rPr>
              <w:t>No.7 Min 'an Road, Caopu Sub-district Office, Anning City, Kunming, Yunnan Province</w:t>
            </w:r>
          </w:p>
        </w:tc>
      </w:tr>
      <w:tr w14:paraId="00FB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14:paraId="4219F9BE">
            <w:pPr>
              <w:spacing w:line="520" w:lineRule="exact"/>
              <w:ind w:firstLine="0" w:firstLineChars="0"/>
              <w:jc w:val="left"/>
              <w:rPr>
                <w:rFonts w:hint="eastAsia"/>
                <w:szCs w:val="21"/>
              </w:rPr>
            </w:pPr>
            <w:r>
              <w:rPr>
                <w:rFonts w:hint="eastAsia"/>
                <w:szCs w:val="21"/>
              </w:rPr>
              <w:t>报告时间范围</w:t>
            </w:r>
          </w:p>
          <w:p w14:paraId="1C0D99DD">
            <w:pPr>
              <w:spacing w:line="520" w:lineRule="exact"/>
              <w:ind w:firstLine="0" w:firstLineChars="0"/>
              <w:jc w:val="left"/>
              <w:rPr>
                <w:sz w:val="21"/>
                <w:szCs w:val="21"/>
              </w:rPr>
            </w:pPr>
            <w:r>
              <w:rPr>
                <w:rFonts w:hint="eastAsia"/>
                <w:szCs w:val="21"/>
              </w:rPr>
              <w:t>Reporting</w:t>
            </w:r>
            <w:r>
              <w:rPr>
                <w:szCs w:val="21"/>
              </w:rPr>
              <w:t xml:space="preserve"> Period</w:t>
            </w:r>
          </w:p>
        </w:tc>
        <w:tc>
          <w:tcPr>
            <w:tcW w:w="6004" w:type="dxa"/>
          </w:tcPr>
          <w:p w14:paraId="5CD45745">
            <w:pPr>
              <w:spacing w:line="520" w:lineRule="exact"/>
              <w:ind w:firstLine="0" w:firstLineChars="0"/>
              <w:jc w:val="left"/>
              <w:rPr>
                <w:szCs w:val="21"/>
              </w:rPr>
            </w:pPr>
            <w:r>
              <w:rPr>
                <w:rFonts w:hint="eastAsia"/>
                <w:szCs w:val="21"/>
              </w:rPr>
              <w:t xml:space="preserve">2025 年 1 月 1 日 </w:t>
            </w:r>
            <w:r>
              <w:rPr>
                <w:szCs w:val="21"/>
              </w:rPr>
              <w:t>–</w:t>
            </w:r>
            <w:r>
              <w:rPr>
                <w:rFonts w:hint="eastAsia"/>
                <w:szCs w:val="21"/>
              </w:rPr>
              <w:t xml:space="preserve"> 2025 年 12 月 31 日</w:t>
            </w:r>
          </w:p>
          <w:p w14:paraId="50D470E1">
            <w:pPr>
              <w:spacing w:line="520" w:lineRule="exact"/>
              <w:ind w:firstLine="0" w:firstLineChars="0"/>
              <w:jc w:val="left"/>
              <w:rPr>
                <w:sz w:val="21"/>
                <w:szCs w:val="21"/>
              </w:rPr>
            </w:pPr>
            <w:r>
              <w:rPr>
                <w:rFonts w:hint="eastAsia"/>
                <w:szCs w:val="21"/>
              </w:rPr>
              <w:t xml:space="preserve">1 January </w:t>
            </w:r>
            <w:r>
              <w:rPr>
                <w:szCs w:val="21"/>
              </w:rPr>
              <w:t>2025 – 31 December 2025</w:t>
            </w:r>
          </w:p>
        </w:tc>
      </w:tr>
      <w:tr w14:paraId="0546E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14:paraId="1E898CBC">
            <w:pPr>
              <w:spacing w:line="520" w:lineRule="exact"/>
              <w:ind w:firstLine="0" w:firstLineChars="0"/>
              <w:jc w:val="left"/>
            </w:pPr>
            <w:r>
              <w:rPr>
                <w:rFonts w:hint="eastAsia"/>
              </w:rPr>
              <w:t>报告日期</w:t>
            </w:r>
          </w:p>
          <w:p w14:paraId="6A45C29B">
            <w:pPr>
              <w:spacing w:line="520" w:lineRule="exact"/>
              <w:ind w:firstLine="0" w:firstLineChars="0"/>
              <w:jc w:val="left"/>
              <w:rPr>
                <w:rFonts w:hint="eastAsia"/>
                <w:szCs w:val="21"/>
              </w:rPr>
            </w:pPr>
            <w:r>
              <w:t>Reporting Date</w:t>
            </w:r>
          </w:p>
        </w:tc>
        <w:tc>
          <w:tcPr>
            <w:tcW w:w="6004" w:type="dxa"/>
          </w:tcPr>
          <w:p w14:paraId="06A61384">
            <w:pPr>
              <w:spacing w:line="520" w:lineRule="exact"/>
              <w:ind w:firstLine="0" w:firstLineChars="0"/>
              <w:jc w:val="left"/>
            </w:pPr>
            <w:r>
              <w:rPr>
                <w:rFonts w:hint="eastAsia"/>
              </w:rPr>
              <w:t>2026年01月20日</w:t>
            </w:r>
          </w:p>
          <w:p w14:paraId="1147A9B9">
            <w:pPr>
              <w:spacing w:line="520" w:lineRule="exact"/>
              <w:ind w:firstLine="0" w:firstLineChars="0"/>
              <w:jc w:val="left"/>
              <w:rPr>
                <w:rFonts w:hint="eastAsia"/>
                <w:szCs w:val="21"/>
              </w:rPr>
            </w:pPr>
            <w:r>
              <w:rPr>
                <w:rFonts w:hint="eastAsia"/>
              </w:rPr>
              <w:t>January 20, 2026</w:t>
            </w:r>
          </w:p>
        </w:tc>
      </w:tr>
      <w:tr w14:paraId="084A7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tcPr>
          <w:p w14:paraId="0AE1FC7A">
            <w:pPr>
              <w:spacing w:line="520" w:lineRule="exact"/>
              <w:ind w:firstLine="0" w:firstLineChars="0"/>
              <w:jc w:val="left"/>
            </w:pPr>
            <w:r>
              <w:rPr>
                <w:rFonts w:hint="eastAsia"/>
              </w:rPr>
              <w:t>报告负责人</w:t>
            </w:r>
          </w:p>
          <w:p w14:paraId="41888284">
            <w:pPr>
              <w:spacing w:line="520" w:lineRule="exact"/>
              <w:ind w:firstLine="0" w:firstLineChars="0"/>
              <w:jc w:val="left"/>
              <w:rPr>
                <w:sz w:val="21"/>
                <w:szCs w:val="21"/>
              </w:rPr>
            </w:pPr>
            <w:r>
              <w:t>Report</w:t>
            </w:r>
            <w:r>
              <w:rPr>
                <w:rFonts w:hint="eastAsia"/>
              </w:rPr>
              <w:t xml:space="preserve"> Owner</w:t>
            </w:r>
          </w:p>
        </w:tc>
        <w:tc>
          <w:tcPr>
            <w:tcW w:w="6004" w:type="dxa"/>
          </w:tcPr>
          <w:p w14:paraId="0B569098">
            <w:pPr>
              <w:spacing w:line="520" w:lineRule="exact"/>
              <w:ind w:firstLine="0" w:firstLineChars="0"/>
              <w:jc w:val="left"/>
            </w:pPr>
            <w:r>
              <w:rPr>
                <w:rFonts w:hint="eastAsia"/>
              </w:rPr>
              <w:t>陈德海  合规总监 （公司总经理）</w:t>
            </w:r>
          </w:p>
          <w:p w14:paraId="2D03DD38">
            <w:pPr>
              <w:spacing w:line="520" w:lineRule="exact"/>
              <w:ind w:firstLine="0" w:firstLineChars="0"/>
              <w:jc w:val="left"/>
              <w:rPr>
                <w:sz w:val="21"/>
                <w:szCs w:val="21"/>
              </w:rPr>
            </w:pPr>
            <w:r>
              <w:rPr>
                <w:rFonts w:hint="eastAsia"/>
              </w:rPr>
              <w:t xml:space="preserve">Mr Chen Dehai, Compliance </w:t>
            </w:r>
            <w:r>
              <w:t>Director (</w:t>
            </w:r>
            <w:r>
              <w:rPr>
                <w:rFonts w:hint="eastAsia"/>
              </w:rPr>
              <w:t>V</w:t>
            </w:r>
            <w:r>
              <w:t xml:space="preserve">ice General </w:t>
            </w:r>
            <w:r>
              <w:rPr>
                <w:rFonts w:hint="eastAsia"/>
              </w:rPr>
              <w:t>M</w:t>
            </w:r>
            <w:r>
              <w:t>anager)</w:t>
            </w:r>
          </w:p>
        </w:tc>
      </w:tr>
    </w:tbl>
    <w:p w14:paraId="42E9C0B2">
      <w:pPr>
        <w:spacing w:line="520" w:lineRule="exact"/>
        <w:ind w:firstLine="0" w:firstLineChars="0"/>
      </w:pPr>
    </w:p>
    <w:p w14:paraId="309C6173">
      <w:pPr>
        <w:spacing w:line="520" w:lineRule="exact"/>
        <w:ind w:firstLine="0" w:firstLineChars="0"/>
      </w:pPr>
    </w:p>
    <w:p w14:paraId="67E05CBA">
      <w:pPr>
        <w:spacing w:line="520" w:lineRule="exact"/>
        <w:ind w:firstLine="0" w:firstLineChars="0"/>
      </w:pPr>
    </w:p>
    <w:p w14:paraId="0B575609">
      <w:pPr>
        <w:spacing w:line="520" w:lineRule="exact"/>
        <w:ind w:firstLine="0" w:firstLineChars="0"/>
      </w:pPr>
    </w:p>
    <w:p w14:paraId="11922DC2">
      <w:pPr>
        <w:spacing w:line="520" w:lineRule="exact"/>
        <w:ind w:firstLine="0" w:firstLineChars="0"/>
      </w:pPr>
    </w:p>
    <w:p w14:paraId="51304682">
      <w:pPr>
        <w:spacing w:line="520" w:lineRule="exact"/>
        <w:ind w:firstLine="0" w:firstLineChars="0"/>
      </w:pPr>
    </w:p>
    <w:p w14:paraId="60B06172">
      <w:pPr>
        <w:spacing w:line="520" w:lineRule="exact"/>
        <w:ind w:firstLine="0" w:firstLineChars="0"/>
      </w:pPr>
    </w:p>
    <w:p w14:paraId="6C915158">
      <w:pPr>
        <w:spacing w:line="520" w:lineRule="exact"/>
        <w:ind w:firstLine="0" w:firstLineChars="0"/>
      </w:pPr>
    </w:p>
    <w:p w14:paraId="759EBC77">
      <w:pPr>
        <w:spacing w:line="520" w:lineRule="exact"/>
        <w:ind w:firstLine="0" w:firstLineChars="0"/>
      </w:pPr>
    </w:p>
    <w:p w14:paraId="6F8B991A">
      <w:pPr>
        <w:spacing w:line="520" w:lineRule="exact"/>
        <w:ind w:firstLine="0" w:firstLineChars="0"/>
        <w:rPr>
          <w:b/>
          <w:bCs/>
        </w:rPr>
      </w:pPr>
    </w:p>
    <w:p w14:paraId="1F3F0F53">
      <w:pPr>
        <w:spacing w:line="520" w:lineRule="exact"/>
        <w:ind w:firstLine="0" w:firstLineChars="0"/>
      </w:pPr>
    </w:p>
    <w:p w14:paraId="2D11738C">
      <w:pPr>
        <w:pStyle w:val="20"/>
        <w:numPr>
          <w:ilvl w:val="255"/>
          <w:numId w:val="0"/>
        </w:numPr>
        <w:spacing w:line="520" w:lineRule="exact"/>
        <w:ind w:firstLine="420"/>
        <w:rPr>
          <w:b/>
          <w:bCs/>
        </w:rPr>
      </w:pPr>
    </w:p>
    <w:p w14:paraId="1AC66A27">
      <w:pPr>
        <w:pStyle w:val="20"/>
        <w:numPr>
          <w:ilvl w:val="255"/>
          <w:numId w:val="0"/>
        </w:numPr>
        <w:spacing w:line="520" w:lineRule="exact"/>
        <w:ind w:firstLine="422" w:firstLineChars="200"/>
        <w:rPr>
          <w:b/>
          <w:bCs/>
        </w:rPr>
      </w:pPr>
      <w:r>
        <w:rPr>
          <w:rFonts w:hint="eastAsia"/>
          <w:b/>
          <w:bCs/>
        </w:rPr>
        <w:t>一、公司概况</w:t>
      </w:r>
    </w:p>
    <w:p w14:paraId="48E3204D">
      <w:pPr>
        <w:spacing w:line="520" w:lineRule="exact"/>
        <w:ind w:firstLine="422"/>
        <w:rPr>
          <w:b/>
          <w:bCs/>
        </w:rPr>
      </w:pPr>
      <w:r>
        <w:rPr>
          <w:b/>
          <w:bCs/>
        </w:rPr>
        <w:t xml:space="preserve">I. Company </w:t>
      </w:r>
      <w:r>
        <w:rPr>
          <w:rFonts w:hint="eastAsia"/>
          <w:b/>
          <w:bCs/>
        </w:rPr>
        <w:t>p</w:t>
      </w:r>
      <w:r>
        <w:rPr>
          <w:b/>
          <w:bCs/>
        </w:rPr>
        <w:t>rofile</w:t>
      </w:r>
    </w:p>
    <w:p w14:paraId="4C5B0469">
      <w:pPr>
        <w:pStyle w:val="9"/>
        <w:spacing w:line="520" w:lineRule="exact"/>
        <w:ind w:firstLine="420"/>
        <w:rPr>
          <w:rFonts w:ascii="Calibri" w:eastAsia="宋体"/>
          <w:sz w:val="21"/>
        </w:rPr>
      </w:pPr>
      <w:r>
        <w:rPr>
          <w:rFonts w:hint="eastAsia" w:ascii="Calibri" w:eastAsia="宋体"/>
          <w:sz w:val="21"/>
        </w:rPr>
        <w:t>云南黄金集团下属云南滇金投资有限公司（以下简称“滇金公司”），是黄金、白银提纯精炼加工企业，成立于2009年，注册资本1.5亿元，注册地址为云南省昆明市安宁市草铺街道办事处民安路8号,精炼提纯地址为云南省昆明市安宁市草铺街道办事处民安路7号。滇金公司是昆明市工业企业经济贡献前10企业，昆明市百强企业，获“昆明市知名商标”、“云南省著名商标”和“名牌产品”，持有的“滇金”品牌金锭是上海黄金交易所及上海期货交易所认定的履约交割金锭，产品主要包括上海黄金交易所国标1号金、2号金、投资金条等，有专利12项。公司现有部门8个，分别为总经办（最高决策层）、财务部、营销部、综合部、生产部、安保部、生产技术部、项目部，合计员工96人。滇金公司拥有高温高压无氰解吸载金炭工艺、湿法提纯精炼黄金工艺、高电流银电解工艺和高效自动铸锭工艺，在黄金、白银提纯精炼领域处于国内领先地位。电解装置、高金银载金碳分段解吸电积方法，全国首创。在产能规模方面，公司构建了规模化、高效化的生产体系：拥有5条主要生产线，其中载金炭解吸电积处理能力达1200吨/年，黄金湿法提纯产能70吨/年，黄金铸锭精炼产能100吨/年，银电解精炼产能与银铸锭产能均达1000吨/年，凭借规模化产能输出与严苛的质量管控，成为国内贵金属精炼加工领域的知名企业。</w:t>
      </w:r>
    </w:p>
    <w:p w14:paraId="0EFD53E6">
      <w:pPr>
        <w:spacing w:line="520" w:lineRule="exact"/>
      </w:pPr>
      <w:r>
        <w:rPr>
          <w:rFonts w:hint="eastAsia"/>
        </w:rPr>
        <w:t>Yunnan Dianjin Investment Co., Ltd. (hereinafter referred to as "Dianjin"), a subsidiary of Yunnan Gold Group, is an enterprise specializing in the purification and refining of gold and silver. Established in 2009 with a registered capital of RMB 150 million, the company is headquartered at No. 8 Min'an Road, Caopu Sub-district, Anning City, Kunming, Yunnan Province, while its refining and purification facility is located at No. 7 Min'an Road, Caopu Sub-district, Anning City, Kunming.</w:t>
      </w:r>
      <w:r>
        <w:t xml:space="preserve"> </w:t>
      </w:r>
      <w:r>
        <w:rPr>
          <w:rFonts w:hint="eastAsia"/>
        </w:rPr>
        <w:t>Dianjin ranks among the top 10 industrial enterprises in Kunming for economic contribution and is recognized as one of the city's top 100 enterprises. It holds the titles of "Kunming Famous Trademark," "Yunnan Famous Trademark," and is a producer of "Brand-Name Products." The "Dianjin" brand gold ingots are certified as compliant delivery products by both the Shanghai Gold Exchange and the Shanghai Futures Exchange. Its product portfolio primarily includes the Shanghai Gold Exchange's National Standard No. 1 Gold, No. 2 Gold, investment gold bars, among others. The company holds 12 patents.</w:t>
      </w:r>
      <w:r>
        <w:t xml:space="preserve"> </w:t>
      </w:r>
      <w:r>
        <w:rPr>
          <w:rFonts w:hint="eastAsia"/>
        </w:rPr>
        <w:t>Dianjin comprises eight departments: General Management Office (highest decision-making body), Finance Department, Marketing Department, Administration Department, Production Department, Security Department, Production Technology Department, and Project Department, with a total workforce of 96 employees.</w:t>
      </w:r>
      <w:r>
        <w:t xml:space="preserve"> </w:t>
      </w:r>
      <w:r>
        <w:rPr>
          <w:rFonts w:hint="eastAsia"/>
        </w:rPr>
        <w:t>The company possesses advanced proprietary technologies in the gold and silver refining sector, including high-temperature and high-pressure cyanide-free desorption of gold-loaded carbon, hydrometallurgical gold purification and refining, high-current silver electrolysis, and efficient automatic ingot casting processes, placing it at the forefront of the domestic industry. Notably, its electrolysis equipment and the segmented desorption-electrowinning method for high gold-silver loaded carbon are nationally pioneering innovations.</w:t>
      </w:r>
      <w:r>
        <w:t xml:space="preserve"> </w:t>
      </w:r>
      <w:r>
        <w:rPr>
          <w:rFonts w:hint="eastAsia"/>
        </w:rPr>
        <w:t>In terms of production capacity, Dianjin has established a large-scale, high-efficiency operational system. It operates five main production lines with the following annual capacities:</w:t>
      </w:r>
    </w:p>
    <w:p w14:paraId="64A1571D">
      <w:pPr>
        <w:pStyle w:val="20"/>
        <w:numPr>
          <w:ilvl w:val="0"/>
          <w:numId w:val="1"/>
        </w:numPr>
        <w:spacing w:line="520" w:lineRule="exact"/>
        <w:ind w:firstLineChars="0"/>
      </w:pPr>
      <w:r>
        <w:rPr>
          <w:rFonts w:hint="eastAsia"/>
        </w:rPr>
        <w:t>Gold-loaded carbon desorption and electrowinning: 1,200 tons</w:t>
      </w:r>
    </w:p>
    <w:p w14:paraId="57D15511">
      <w:pPr>
        <w:pStyle w:val="20"/>
        <w:numPr>
          <w:ilvl w:val="0"/>
          <w:numId w:val="1"/>
        </w:numPr>
        <w:spacing w:line="520" w:lineRule="exact"/>
        <w:ind w:firstLineChars="0"/>
      </w:pPr>
      <w:r>
        <w:rPr>
          <w:rFonts w:hint="eastAsia"/>
        </w:rPr>
        <w:t>Hydrometallurgical gold purification: 70 tons</w:t>
      </w:r>
    </w:p>
    <w:p w14:paraId="7573AC05">
      <w:pPr>
        <w:pStyle w:val="20"/>
        <w:numPr>
          <w:ilvl w:val="0"/>
          <w:numId w:val="1"/>
        </w:numPr>
        <w:spacing w:line="520" w:lineRule="exact"/>
        <w:ind w:firstLineChars="0"/>
      </w:pPr>
      <w:r>
        <w:rPr>
          <w:rFonts w:hint="eastAsia"/>
        </w:rPr>
        <w:t>Gold ingot casting and refining: 100 tons</w:t>
      </w:r>
    </w:p>
    <w:p w14:paraId="51642B07">
      <w:pPr>
        <w:pStyle w:val="20"/>
        <w:numPr>
          <w:ilvl w:val="0"/>
          <w:numId w:val="1"/>
        </w:numPr>
        <w:spacing w:line="520" w:lineRule="exact"/>
        <w:ind w:firstLineChars="0"/>
      </w:pPr>
      <w:r>
        <w:rPr>
          <w:rFonts w:hint="eastAsia"/>
        </w:rPr>
        <w:t>Silver electrolytic refining: 1,000 tons</w:t>
      </w:r>
    </w:p>
    <w:p w14:paraId="0817561C">
      <w:pPr>
        <w:pStyle w:val="20"/>
        <w:numPr>
          <w:ilvl w:val="0"/>
          <w:numId w:val="1"/>
        </w:numPr>
        <w:spacing w:line="520" w:lineRule="exact"/>
        <w:ind w:firstLineChars="0"/>
      </w:pPr>
      <w:r>
        <w:rPr>
          <w:rFonts w:hint="eastAsia"/>
        </w:rPr>
        <w:t>Silver ingot casting: 1,000 tons</w:t>
      </w:r>
    </w:p>
    <w:p w14:paraId="024F1B1C">
      <w:pPr>
        <w:pStyle w:val="20"/>
        <w:numPr>
          <w:ilvl w:val="255"/>
          <w:numId w:val="0"/>
        </w:numPr>
        <w:spacing w:line="520" w:lineRule="exact"/>
      </w:pPr>
      <w:r>
        <w:rPr>
          <w:rFonts w:hint="eastAsia"/>
        </w:rPr>
        <w:t xml:space="preserve">Through its substantial production output and stringent quality control, </w:t>
      </w:r>
      <w:r>
        <w:t>D</w:t>
      </w:r>
      <w:r>
        <w:rPr>
          <w:rFonts w:hint="eastAsia"/>
        </w:rPr>
        <w:t>ianjin has established itself as a renowned enterprise in China's precious metals refining and processing industry.</w:t>
      </w:r>
    </w:p>
    <w:p w14:paraId="1893CEC6">
      <w:pPr>
        <w:pStyle w:val="20"/>
        <w:numPr>
          <w:ilvl w:val="255"/>
          <w:numId w:val="0"/>
        </w:numPr>
        <w:spacing w:line="520" w:lineRule="exact"/>
        <w:ind w:firstLine="632" w:firstLineChars="300"/>
        <w:rPr>
          <w:b/>
          <w:bCs/>
        </w:rPr>
      </w:pPr>
    </w:p>
    <w:p w14:paraId="2FCFB7B9">
      <w:pPr>
        <w:pStyle w:val="20"/>
        <w:numPr>
          <w:ilvl w:val="255"/>
          <w:numId w:val="0"/>
        </w:numPr>
        <w:spacing w:line="520" w:lineRule="exact"/>
        <w:ind w:firstLine="632" w:firstLineChars="300"/>
        <w:rPr>
          <w:b/>
          <w:bCs/>
        </w:rPr>
      </w:pPr>
      <w:r>
        <w:rPr>
          <w:rFonts w:hint="eastAsia"/>
          <w:b/>
          <w:bCs/>
        </w:rPr>
        <w:t>二、供应商情况概述</w:t>
      </w:r>
    </w:p>
    <w:p w14:paraId="4EC7F0AD">
      <w:pPr>
        <w:spacing w:line="520" w:lineRule="exact"/>
        <w:ind w:firstLine="632" w:firstLineChars="300"/>
        <w:rPr>
          <w:b/>
          <w:bCs/>
        </w:rPr>
      </w:pPr>
      <w:r>
        <w:rPr>
          <w:rFonts w:hint="eastAsia"/>
          <w:b/>
          <w:bCs/>
        </w:rPr>
        <w:t>II. Overview of suppliers</w:t>
      </w:r>
    </w:p>
    <w:p w14:paraId="6768FDBA">
      <w:pPr>
        <w:spacing w:line="520" w:lineRule="exact"/>
        <w:rPr>
          <w:rStyle w:val="19"/>
        </w:rPr>
      </w:pPr>
      <w:r>
        <w:rPr>
          <w:rFonts w:hint="eastAsia"/>
        </w:rPr>
        <w:t>公司主要原料来源分为上海</w:t>
      </w:r>
      <w:r>
        <w:t>黄金交易所</w:t>
      </w:r>
      <w:r>
        <w:rPr>
          <w:rFonts w:hint="eastAsia"/>
        </w:rPr>
        <w:t>、集团内各大矿山自产金和从外部企业收购的合质金(矿山金、回收金、冶炼金)，我公司在原料溯源工作中，制作了供应链地图对原料进行追溯，经过对原料提供商进行调查及</w:t>
      </w:r>
      <w:r>
        <w:t>评估</w:t>
      </w:r>
      <w:r>
        <w:rPr>
          <w:rFonts w:hint="eastAsia"/>
        </w:rPr>
        <w:t>，我公司原料来源均不涉及零容忍风险、高风险及源于世界遗产地。</w:t>
      </w:r>
    </w:p>
    <w:p w14:paraId="41DAC374">
      <w:pPr>
        <w:spacing w:line="520" w:lineRule="exact"/>
      </w:pPr>
      <w:r>
        <w:rPr>
          <w:rFonts w:hint="eastAsia"/>
        </w:rPr>
        <w:t>The company's main raw material sources are divided into gold from the Shanghai Gold Exchange, self-produced gold from various mines within the group, and purchased gold from external enterprises (mine gold 、recycled gold、Smelted Gold). In the raw material traceability work, our company has created a supply chain map to trace the raw materials. After investigating and evaluating the raw material providers, it is confirmed that the raw material sources of our company do not involve zero-tolerance risks, high risks, or those originated from World Heritage Sites.</w:t>
      </w:r>
    </w:p>
    <w:p w14:paraId="5D78B726">
      <w:pPr>
        <w:spacing w:line="520" w:lineRule="exact"/>
      </w:pPr>
    </w:p>
    <w:p w14:paraId="00890ECA">
      <w:pPr>
        <w:spacing w:line="520" w:lineRule="exact"/>
        <w:ind w:firstLine="422"/>
        <w:rPr>
          <w:b/>
          <w:bCs/>
        </w:rPr>
      </w:pPr>
      <w:r>
        <w:rPr>
          <w:rFonts w:hint="eastAsia"/>
          <w:b/>
          <w:bCs/>
        </w:rPr>
        <w:t>三、合规情况概述</w:t>
      </w:r>
    </w:p>
    <w:p w14:paraId="2509001A">
      <w:pPr>
        <w:spacing w:line="520" w:lineRule="exact"/>
        <w:ind w:firstLine="422"/>
        <w:rPr>
          <w:b/>
          <w:bCs/>
        </w:rPr>
      </w:pPr>
      <w:r>
        <w:rPr>
          <w:rFonts w:hint="eastAsia"/>
          <w:b/>
          <w:bCs/>
        </w:rPr>
        <w:t>III</w:t>
      </w:r>
      <w:r>
        <w:rPr>
          <w:b/>
          <w:bCs/>
        </w:rPr>
        <w:t>. Overview of compliance</w:t>
      </w:r>
    </w:p>
    <w:p w14:paraId="65559912">
      <w:pPr>
        <w:spacing w:line="520" w:lineRule="exact"/>
      </w:pPr>
      <w:r>
        <w:rPr>
          <w:rFonts w:hint="eastAsia"/>
        </w:rPr>
        <w:t>公司对所有供应商进行尽职供应链调查，要求所有供应商提供的黄</w:t>
      </w:r>
      <w:r>
        <w:t>金原料</w:t>
      </w:r>
      <w:r>
        <w:rPr>
          <w:rFonts w:hint="eastAsia"/>
        </w:rPr>
        <w:t>来源合法、合规。</w:t>
      </w:r>
    </w:p>
    <w:p w14:paraId="1FDE32A7">
      <w:pPr>
        <w:spacing w:line="520" w:lineRule="exact"/>
      </w:pPr>
      <w:r>
        <w:t xml:space="preserve">The </w:t>
      </w:r>
      <w:r>
        <w:rPr>
          <w:rFonts w:hint="eastAsia"/>
        </w:rPr>
        <w:t>C</w:t>
      </w:r>
      <w:r>
        <w:t xml:space="preserve">ompany </w:t>
      </w:r>
      <w:r>
        <w:rPr>
          <w:rFonts w:hint="eastAsia"/>
        </w:rPr>
        <w:t>carries out</w:t>
      </w:r>
      <w:r>
        <w:t xml:space="preserve"> </w:t>
      </w:r>
      <w:r>
        <w:rPr>
          <w:rFonts w:hint="eastAsia"/>
        </w:rPr>
        <w:t xml:space="preserve">the </w:t>
      </w:r>
      <w:r>
        <w:t>due diligence supply chain investigation on all suppliers and requires that the sources provided by all suppliers are legal and compliant.</w:t>
      </w:r>
    </w:p>
    <w:p w14:paraId="2A49EA24">
      <w:pPr>
        <w:spacing w:line="520" w:lineRule="exact"/>
        <w:ind w:firstLine="422"/>
        <w:rPr>
          <w:b/>
          <w:bCs/>
        </w:rPr>
      </w:pPr>
      <w:r>
        <w:rPr>
          <w:rFonts w:hint="eastAsia"/>
          <w:b/>
          <w:bCs/>
        </w:rPr>
        <w:t>第一步 建立强大的公司管理体系</w:t>
      </w:r>
    </w:p>
    <w:p w14:paraId="70A826C4">
      <w:pPr>
        <w:spacing w:line="520" w:lineRule="exact"/>
        <w:ind w:firstLine="422"/>
        <w:rPr>
          <w:b/>
          <w:bCs/>
        </w:rPr>
      </w:pPr>
      <w:r>
        <w:rPr>
          <w:rFonts w:hint="eastAsia"/>
          <w:b/>
          <w:bCs/>
        </w:rPr>
        <w:t xml:space="preserve">Step 1: </w:t>
      </w:r>
      <w:r>
        <w:rPr>
          <w:b/>
          <w:bCs/>
        </w:rPr>
        <w:t>Establish strong company management systems</w:t>
      </w:r>
    </w:p>
    <w:p w14:paraId="7DE4162D">
      <w:pPr>
        <w:spacing w:line="520" w:lineRule="exact"/>
      </w:pPr>
      <w:r>
        <w:rPr>
          <w:rFonts w:hint="eastAsia"/>
        </w:rPr>
        <w:t>合规声明与要求：</w:t>
      </w:r>
    </w:p>
    <w:p w14:paraId="3233A89F">
      <w:pPr>
        <w:spacing w:line="520" w:lineRule="exact"/>
      </w:pPr>
      <w:r>
        <w:t>Compliance Statement with Requirement:</w:t>
      </w:r>
    </w:p>
    <w:p w14:paraId="02D8A160">
      <w:pPr>
        <w:spacing w:line="520" w:lineRule="exact"/>
      </w:pPr>
      <w:r>
        <w:rPr>
          <w:rFonts w:hint="eastAsia"/>
        </w:rPr>
        <w:t>我公司已经充分遵守第1步骤：建立强大的公司管理体系。</w:t>
      </w:r>
    </w:p>
    <w:p w14:paraId="4BB38989">
      <w:pPr>
        <w:spacing w:line="520" w:lineRule="exact"/>
      </w:pPr>
      <w:r>
        <w:t>We have fully complied with Step 1: Establish strong company management systems.</w:t>
      </w:r>
    </w:p>
    <w:p w14:paraId="41B02650">
      <w:pPr>
        <w:spacing w:line="520" w:lineRule="exact"/>
      </w:pPr>
      <w:r>
        <w:rPr>
          <w:rFonts w:hint="eastAsia"/>
        </w:rPr>
        <w:t>公司严格遵守LBMA黄金责任指南第一步“建立强大的公司管理体系”的要求，已经建立了强大的管理体系，确保供应链尽职调查工作全面落地。</w:t>
      </w:r>
    </w:p>
    <w:p w14:paraId="1DBA97DE">
      <w:pPr>
        <w:spacing w:line="520" w:lineRule="exact"/>
        <w:rPr>
          <w:rFonts w:ascii="仿宋" w:hAnsi="仿宋"/>
        </w:rPr>
      </w:pPr>
      <w:r>
        <w:t xml:space="preserve">The </w:t>
      </w:r>
      <w:r>
        <w:rPr>
          <w:rFonts w:hint="eastAsia"/>
        </w:rPr>
        <w:t>C</w:t>
      </w:r>
      <w:r>
        <w:t xml:space="preserve">ompany strictly </w:t>
      </w:r>
      <w:r>
        <w:rPr>
          <w:rFonts w:hint="eastAsia"/>
        </w:rPr>
        <w:t>followed</w:t>
      </w:r>
      <w:r>
        <w:t xml:space="preserve"> the requirements of </w:t>
      </w:r>
      <w:r>
        <w:rPr>
          <w:rFonts w:hint="eastAsia"/>
        </w:rPr>
        <w:t>S</w:t>
      </w:r>
      <w:r>
        <w:t xml:space="preserve">tep </w:t>
      </w:r>
      <w:r>
        <w:rPr>
          <w:rFonts w:hint="eastAsia"/>
        </w:rPr>
        <w:t>1</w:t>
      </w:r>
      <w:r>
        <w:t xml:space="preserve"> of the LBMA Responsible Gold Guidance, “</w:t>
      </w:r>
      <w:r>
        <w:rPr>
          <w:rFonts w:hint="eastAsia"/>
        </w:rPr>
        <w:t>e</w:t>
      </w:r>
      <w:r>
        <w:t>stablish strong c</w:t>
      </w:r>
      <w:r>
        <w:rPr>
          <w:rFonts w:hint="eastAsia"/>
        </w:rPr>
        <w:t>ompany</w:t>
      </w:r>
      <w:r>
        <w:t xml:space="preserve"> management system</w:t>
      </w:r>
      <w:r>
        <w:rPr>
          <w:rFonts w:hint="eastAsia"/>
        </w:rPr>
        <w:t>s</w:t>
      </w:r>
      <w:r>
        <w:t>”</w:t>
      </w:r>
      <w:r>
        <w:rPr>
          <w:rFonts w:hint="eastAsia"/>
        </w:rPr>
        <w:t>. S</w:t>
      </w:r>
      <w:r>
        <w:t>trong management system</w:t>
      </w:r>
      <w:r>
        <w:rPr>
          <w:rFonts w:hint="eastAsia"/>
        </w:rPr>
        <w:t xml:space="preserve">s have been </w:t>
      </w:r>
      <w:r>
        <w:t>established to ensure the full implementation of supply chain due diligence.</w:t>
      </w:r>
    </w:p>
    <w:p w14:paraId="1A60DA18">
      <w:pPr>
        <w:pStyle w:val="20"/>
        <w:numPr>
          <w:ilvl w:val="255"/>
          <w:numId w:val="0"/>
        </w:numPr>
        <w:spacing w:line="520" w:lineRule="exact"/>
        <w:ind w:firstLine="420" w:firstLineChars="200"/>
      </w:pPr>
      <w:r>
        <w:rPr>
          <w:rFonts w:hint="eastAsia"/>
        </w:rPr>
        <w:t>1.1 政策方面</w:t>
      </w:r>
    </w:p>
    <w:p w14:paraId="109B9846">
      <w:pPr>
        <w:spacing w:line="520" w:lineRule="exact"/>
      </w:pPr>
      <w:r>
        <w:rPr>
          <w:rFonts w:hint="eastAsia"/>
        </w:rPr>
        <w:t>1. 1 Policy aspect</w:t>
      </w:r>
    </w:p>
    <w:p w14:paraId="3C2D68D5">
      <w:pPr>
        <w:spacing w:line="520" w:lineRule="exact"/>
        <w:jc w:val="left"/>
        <w:rPr>
          <w:rStyle w:val="18"/>
          <w:rFonts w:ascii="Times New Roman" w:hAnsi="Times New Roman"/>
          <w:color w:val="auto"/>
          <w:sz w:val="28"/>
          <w:szCs w:val="28"/>
        </w:rPr>
      </w:pPr>
      <w:r>
        <w:rPr>
          <w:rFonts w:hint="eastAsia"/>
        </w:rPr>
        <w:t>公司通过并出台了《云南</w:t>
      </w:r>
      <w:r>
        <w:t>滇金投资</w:t>
      </w:r>
      <w:r>
        <w:rPr>
          <w:rFonts w:hint="eastAsia"/>
        </w:rPr>
        <w:t>有限公司黄金供应链</w:t>
      </w:r>
      <w:r>
        <w:t>管理</w:t>
      </w:r>
      <w:r>
        <w:rPr>
          <w:rFonts w:hint="eastAsia"/>
        </w:rPr>
        <w:t>政策》（以下简称“政策”），该政策符合《经济合作与发展组织关于来自受冲突影响和高风险区域的矿石的负责任供应链尽职调查指南》并扩展至环境、社会、治理和可持续性责任，该政策由公司尽职管理委员会每年评审一次，最近一次评审于2025年12月完成，评审结论显示目前最新的政策已经涵盖LBMA</w:t>
      </w:r>
      <w:r>
        <w:t xml:space="preserve"> </w:t>
      </w:r>
      <w:r>
        <w:rPr>
          <w:rFonts w:hint="eastAsia"/>
        </w:rPr>
        <w:t>《负责任黄金指南》中第一步中列出的所有风险，且被</w:t>
      </w:r>
      <w:r>
        <w:t>尽职管理委员会</w:t>
      </w:r>
      <w:r>
        <w:rPr>
          <w:rFonts w:hint="eastAsia"/>
        </w:rPr>
        <w:t>和合规总监审批通过。该政策在云南</w:t>
      </w:r>
      <w:r>
        <w:t>黄金矿业集团</w:t>
      </w:r>
      <w:r>
        <w:rPr>
          <w:rFonts w:hint="eastAsia"/>
        </w:rPr>
        <w:t>进行了</w:t>
      </w:r>
      <w:r>
        <w:t>公布，</w:t>
      </w:r>
      <w:r>
        <w:rPr>
          <w:rFonts w:hint="eastAsia"/>
        </w:rPr>
        <w:t>官网链接地址</w:t>
      </w:r>
      <w:r>
        <w:t>为</w:t>
      </w:r>
      <w:r>
        <w:rPr>
          <w:rFonts w:hint="eastAsia"/>
        </w:rPr>
        <w:t>：       https://www.ygmg.net/154/167/content_2112.html</w:t>
      </w:r>
    </w:p>
    <w:p w14:paraId="351B7E15">
      <w:pPr>
        <w:spacing w:line="520" w:lineRule="exact"/>
        <w:jc w:val="left"/>
        <w:rPr>
          <w:rStyle w:val="18"/>
          <w:color w:val="auto"/>
          <w:sz w:val="28"/>
          <w:szCs w:val="28"/>
        </w:rPr>
      </w:pPr>
      <w:r>
        <w:rPr>
          <w:rFonts w:hint="eastAsia"/>
        </w:rPr>
        <w:t xml:space="preserve">The company has </w:t>
      </w:r>
      <w:r>
        <w:t>establishe</w:t>
      </w:r>
      <w:r>
        <w:rPr>
          <w:rFonts w:hint="eastAsia"/>
        </w:rPr>
        <w:t xml:space="preserve">d and issued the "Yunnan </w:t>
      </w:r>
      <w:r>
        <w:t>D</w:t>
      </w:r>
      <w:r>
        <w:rPr>
          <w:rFonts w:hint="eastAsia"/>
        </w:rPr>
        <w:t>ianjin Investment Co., Ltd. Gold Supply Chain Management Policy" (hereinafter referred to as the "Policy"). This policy aligns with the "OECD Due Diligence Guidance for Responsible Supply Chains of Minerals from Conflict-Affected and High-Risk Areas" and extends to environmental, social, governance, and sustainability responsibilities. The Policy is reviewed annually by the company's Due Diligence Management Committee, with the most recent review completed in December 2025. The review concluded that the current version of the Policy comprehensively covers all risks outlined in Step 1 of the LBMA Responsible Gold Guidance and has been approved by both the Due Diligence Management Committee and the Compliance Director. The Policy has been published by Yunnan Gold Mining Group and is available on its official website at:</w:t>
      </w:r>
      <w:r>
        <w:t xml:space="preserve"> </w:t>
      </w:r>
      <w:r>
        <w:rPr>
          <w:rFonts w:hint="eastAsia"/>
        </w:rPr>
        <w:t>https://www.ygmg.net/154/167/content_2112.html</w:t>
      </w:r>
      <w:bookmarkStart w:id="5" w:name="_GoBack"/>
      <w:bookmarkEnd w:id="5"/>
    </w:p>
    <w:p w14:paraId="7AC0C923">
      <w:pPr>
        <w:spacing w:line="520" w:lineRule="exact"/>
      </w:pPr>
      <w:r>
        <w:rPr>
          <w:rFonts w:hint="eastAsia"/>
        </w:rPr>
        <w:t>政策要求公司及其供应商严格遵守国家关于职工权利、环境保护、公平交易等各项法律法规，积极参与供应链尽职调查工作，确保开采金、回收金来源符合</w:t>
      </w:r>
      <w:r>
        <w:t>LBMA尽职调查管理要求，并作出承诺，</w:t>
      </w:r>
      <w:r>
        <w:rPr>
          <w:rFonts w:hint="eastAsia"/>
        </w:rPr>
        <w:t>对黄金供应链中的关于侵犯人权、冲突地区、贿赂、洗钱、恐怖主义融资、非法开采、世界遗产遗址、采用汞开采等地区的相关风险进行管控。同时，政策也要求对黄金交易方进行</w:t>
      </w:r>
      <w:r>
        <w:t>KY</w:t>
      </w:r>
      <w:r>
        <w:rPr>
          <w:rFonts w:hint="eastAsia"/>
        </w:rPr>
        <w:t>C</w:t>
      </w:r>
      <w:r>
        <w:t>调查和风险评估，</w:t>
      </w:r>
      <w:r>
        <w:rPr>
          <w:rFonts w:hint="eastAsia"/>
        </w:rPr>
        <w:t>我公司通过调查填写包含股权结构图的KYC问卷，并利用‘天眼查’等商业信息平台进行交叉验证，以识别并记录所有供应商的最终实益拥有人，交叉验证其股东信息直至追溯到自然人或国有独资实体，并将该信息作为供应商档案的必要组成部分。</w:t>
      </w:r>
      <w:r>
        <w:t>对内部员工定期提供尽职调查管理体系的培训，公司的供应链申诉渠道也被加入到政策中。</w:t>
      </w:r>
      <w:r>
        <w:rPr>
          <w:rFonts w:hint="eastAsia"/>
        </w:rPr>
        <w:t>公司在政策中也声明支持并实施采掘业透明度倡议</w:t>
      </w:r>
      <w:r>
        <w:t>(EITI)。</w:t>
      </w:r>
      <w:r>
        <w:rPr>
          <w:rFonts w:hint="eastAsia"/>
        </w:rPr>
        <w:t>当风险类型，相应的法规以及</w:t>
      </w:r>
      <w:r>
        <w:t>LBMA尽职调查管理要求发生变化时，公司会及时</w:t>
      </w:r>
      <w:r>
        <w:rPr>
          <w:rFonts w:hint="eastAsia"/>
        </w:rPr>
        <w:t>地</w:t>
      </w:r>
      <w:r>
        <w:t>更新该政策并每年进行评审。目前，最新版本的政策已经</w:t>
      </w:r>
      <w:r>
        <w:rPr>
          <w:rFonts w:hint="eastAsia"/>
        </w:rPr>
        <w:t>通过书面和内部培训传</w:t>
      </w:r>
      <w:r>
        <w:t>达给所有的黄金交易方以及内部员工。</w:t>
      </w:r>
    </w:p>
    <w:p w14:paraId="50F137EE">
      <w:pPr>
        <w:spacing w:line="520" w:lineRule="exact"/>
        <w:rPr>
          <w:rFonts w:ascii="仿宋" w:hAnsi="仿宋"/>
        </w:rPr>
      </w:pPr>
      <w:r>
        <w:t xml:space="preserve"> </w:t>
      </w:r>
      <w:r>
        <w:rPr>
          <w:rFonts w:hint="eastAsia"/>
        </w:rPr>
        <w:t>The policy requires companies and their suppliers to strictly abide by national laws and regulations concerning employee rights, environmental protection, fair trade, etc., actively participate in supply chain due diligence work, ensure that the sources of mined and recycled gold comply with the LBMA due diligence management requirements, and commit to controlling risks related to human rights violations, conflict areas, bribery, money laundering, terrorist financing, illegal mining, world heritage sites, and mercury mining in the gold supply chain. At the same time, the policy also requires conducting KYC investigations and risk assessments on gold trading parties. Our company fills out the KYC questionnaire including the equity structure diagram and uses commercial information platforms such as Tianyancha for cross-verification to identify and record the ultimate beneficial owners of all suppliers，Conduct cross-validation of the shareholders' information until it is traced back to natural persons or wholly state-owned entities, and incorporate this information as an essential component of the supplier's file. Regular training on the due diligence management system is provided to internal employees. The company's supply chain complaint channel has also been included in the policy. The company also states in the policy that it supports and implements the Extractive Industries Transparency Initiative (EITI). When the types of risks, corresponding regulations, and LBMA due diligence management requirements change, the company will promptly update this policy and review it annually. The latest version of the Policy has been communicated to all gold trading counterparts and internal employees through written dissemination and internal training sessions.</w:t>
      </w:r>
    </w:p>
    <w:p w14:paraId="50FB74CF">
      <w:pPr>
        <w:spacing w:line="520" w:lineRule="exact"/>
      </w:pPr>
      <w:r>
        <w:rPr>
          <w:rFonts w:hint="eastAsia"/>
        </w:rPr>
        <w:t>2.1规章制度方面</w:t>
      </w:r>
    </w:p>
    <w:p w14:paraId="59BD10C0">
      <w:pPr>
        <w:spacing w:line="520" w:lineRule="exact"/>
      </w:pPr>
      <w:r>
        <w:t>2.1 Rules and regulation</w:t>
      </w:r>
      <w:r>
        <w:rPr>
          <w:rFonts w:hint="eastAsia"/>
        </w:rPr>
        <w:t xml:space="preserve"> aspects</w:t>
      </w:r>
    </w:p>
    <w:p w14:paraId="453870A3">
      <w:pPr>
        <w:spacing w:line="520" w:lineRule="exact"/>
      </w:pPr>
      <w:r>
        <w:rPr>
          <w:rFonts w:hint="eastAsia"/>
        </w:rPr>
        <w:t>公司根据《LBMA负责任的黄金指南》制订了《云南</w:t>
      </w:r>
      <w:r>
        <w:t>滇金投资有限公司</w:t>
      </w:r>
      <w:r>
        <w:rPr>
          <w:rFonts w:hint="eastAsia"/>
        </w:rPr>
        <w:t>黄金供应链管理政策》《黄</w:t>
      </w:r>
      <w:r>
        <w:t>金</w:t>
      </w:r>
      <w:r>
        <w:rPr>
          <w:rFonts w:hint="eastAsia"/>
        </w:rPr>
        <w:t>供应链尽职调查规则》《云南滇金投资有限公司供应链风险减缓管理办法》《云南滇金投资有限公司供应链反洗钱、反恐怖主义融资政策》及禁止强迫劳动的相关制度和要求，主要明确供应链尽职调查组织架构、职责、高风险地区定义，制定零容忍和高风险供应链评估标准、调查处理程序、交易监控、文件保存等内容。上述制度通过总经理办公会审批后以红头文的形式下发，作为文控处理。</w:t>
      </w:r>
    </w:p>
    <w:p w14:paraId="214603B8">
      <w:pPr>
        <w:spacing w:line="520" w:lineRule="exact"/>
      </w:pPr>
      <w:r>
        <w:t xml:space="preserve">According to the </w:t>
      </w:r>
      <w:bookmarkStart w:id="0" w:name="OLE_LINK27"/>
      <w:bookmarkStart w:id="1" w:name="OLE_LINK28"/>
      <w:r>
        <w:t>LBMA Responsible Gold Guidance, the Company formulated the Supply Chain Management Policy of Yunnan Dianjin Investment Co., Ltd, Gold Supply Chain Due Diligence Rules, Supply Chain Risk Mitigation Management Measures of Yunnan Dianjin Investment Co., Ltd  and Supply Chain Anti-Money Laundering Policy</w:t>
      </w:r>
      <w:bookmarkEnd w:id="0"/>
      <w:bookmarkEnd w:id="1"/>
      <w:r>
        <w:t xml:space="preserve"> of Yunnan Dianjin Investment Co., Ltd,</w:t>
      </w:r>
      <w:r>
        <w:rPr>
          <w:rFonts w:hint="eastAsia"/>
        </w:rPr>
        <w:t xml:space="preserve"> and relevant regulations</w:t>
      </w:r>
      <w:r>
        <w:t xml:space="preserve"> and requirements prohibiting forced labor</w:t>
      </w:r>
      <w:r>
        <w:rPr>
          <w:rFonts w:hint="eastAsia"/>
        </w:rPr>
        <w:t xml:space="preserve"> </w:t>
      </w:r>
      <w:r>
        <w:t>which mainly clarif</w:t>
      </w:r>
      <w:r>
        <w:rPr>
          <w:rFonts w:hint="eastAsia"/>
        </w:rPr>
        <w:t>ied</w:t>
      </w:r>
      <w:r>
        <w:t xml:space="preserve"> the organizational structure, responsibilities and definition of high-risk areas of supply chain due diligence</w:t>
      </w:r>
      <w:r>
        <w:rPr>
          <w:rFonts w:hint="eastAsia"/>
        </w:rPr>
        <w:t xml:space="preserve"> </w:t>
      </w:r>
      <w:r>
        <w:t>and formulate</w:t>
      </w:r>
      <w:r>
        <w:rPr>
          <w:rFonts w:hint="eastAsia"/>
        </w:rPr>
        <w:t>d</w:t>
      </w:r>
      <w:r>
        <w:t xml:space="preserve"> </w:t>
      </w:r>
      <w:r>
        <w:rPr>
          <w:rFonts w:hint="eastAsia"/>
        </w:rPr>
        <w:t>zero</w:t>
      </w:r>
      <w:r>
        <w:t xml:space="preserve"> tolerance high-risk supply chain evaluation standards, investigation and handling procedures</w:t>
      </w:r>
      <w:r>
        <w:rPr>
          <w:rFonts w:hint="eastAsia"/>
        </w:rPr>
        <w:t>,</w:t>
      </w:r>
      <w:r>
        <w:t xml:space="preserve"> </w:t>
      </w:r>
      <w:r>
        <w:rPr>
          <w:rFonts w:hint="eastAsia"/>
        </w:rPr>
        <w:t>t</w:t>
      </w:r>
      <w:r>
        <w:t>ransaction monitoring, document</w:t>
      </w:r>
      <w:r>
        <w:rPr>
          <w:rFonts w:hint="eastAsia"/>
        </w:rPr>
        <w:t xml:space="preserve"> preservation</w:t>
      </w:r>
      <w:r>
        <w:t xml:space="preserve">, etc. </w:t>
      </w:r>
      <w:r>
        <w:rPr>
          <w:rFonts w:hint="eastAsia"/>
        </w:rPr>
        <w:t>T</w:t>
      </w:r>
      <w:r>
        <w:t>he above system</w:t>
      </w:r>
      <w:r>
        <w:rPr>
          <w:rFonts w:hint="eastAsia"/>
        </w:rPr>
        <w:t>s</w:t>
      </w:r>
      <w:r>
        <w:t xml:space="preserve"> </w:t>
      </w:r>
      <w:r>
        <w:rPr>
          <w:rFonts w:hint="eastAsia"/>
        </w:rPr>
        <w:t>have</w:t>
      </w:r>
      <w:r>
        <w:t xml:space="preserve"> be</w:t>
      </w:r>
      <w:r>
        <w:rPr>
          <w:rFonts w:hint="eastAsia"/>
        </w:rPr>
        <w:t>en</w:t>
      </w:r>
      <w:r>
        <w:t xml:space="preserve"> issued in the form of </w:t>
      </w:r>
      <w:r>
        <w:rPr>
          <w:rFonts w:hint="eastAsia"/>
        </w:rPr>
        <w:t xml:space="preserve">a </w:t>
      </w:r>
      <w:r>
        <w:t>red</w:t>
      </w:r>
      <w:r>
        <w:rPr>
          <w:rFonts w:hint="eastAsia"/>
        </w:rPr>
        <w:t>-</w:t>
      </w:r>
      <w:r>
        <w:t xml:space="preserve">headed </w:t>
      </w:r>
      <w:r>
        <w:rPr>
          <w:rFonts w:hint="eastAsia"/>
        </w:rPr>
        <w:t>document</w:t>
      </w:r>
      <w:r>
        <w:t xml:space="preserve"> as document control</w:t>
      </w:r>
      <w:r>
        <w:rPr>
          <w:rFonts w:hint="eastAsia"/>
        </w:rPr>
        <w:t xml:space="preserve"> after</w:t>
      </w:r>
      <w:r>
        <w:t xml:space="preserve"> </w:t>
      </w:r>
      <w:r>
        <w:rPr>
          <w:rFonts w:hint="eastAsia"/>
        </w:rPr>
        <w:t>obtaining the approval</w:t>
      </w:r>
      <w:r>
        <w:t xml:space="preserve"> </w:t>
      </w:r>
      <w:r>
        <w:rPr>
          <w:rFonts w:hint="eastAsia"/>
        </w:rPr>
        <w:t>of</w:t>
      </w:r>
      <w:r>
        <w:t xml:space="preserve"> the </w:t>
      </w:r>
      <w:r>
        <w:rPr>
          <w:rFonts w:hint="eastAsia"/>
        </w:rPr>
        <w:t>G</w:t>
      </w:r>
      <w:r>
        <w:t xml:space="preserve">eneral </w:t>
      </w:r>
      <w:r>
        <w:rPr>
          <w:rFonts w:hint="eastAsia"/>
        </w:rPr>
        <w:t>M</w:t>
      </w:r>
      <w:r>
        <w:t xml:space="preserve">anager’s </w:t>
      </w:r>
      <w:r>
        <w:rPr>
          <w:rFonts w:hint="eastAsia"/>
        </w:rPr>
        <w:t>O</w:t>
      </w:r>
      <w:r>
        <w:t xml:space="preserve">ffice </w:t>
      </w:r>
      <w:r>
        <w:rPr>
          <w:rFonts w:hint="eastAsia"/>
        </w:rPr>
        <w:t>M</w:t>
      </w:r>
      <w:r>
        <w:t>eeting.</w:t>
      </w:r>
    </w:p>
    <w:p w14:paraId="16096FE8">
      <w:pPr>
        <w:spacing w:line="520" w:lineRule="exact"/>
      </w:pPr>
      <w:r>
        <w:rPr>
          <w:rFonts w:hint="eastAsia"/>
        </w:rPr>
        <w:t>2.2职责与权限</w:t>
      </w:r>
    </w:p>
    <w:p w14:paraId="0316C464">
      <w:pPr>
        <w:spacing w:line="520" w:lineRule="exact"/>
      </w:pPr>
      <w:r>
        <w:t>2.2 Responsibilities and authorit</w:t>
      </w:r>
      <w:r>
        <w:rPr>
          <w:rFonts w:hint="eastAsia"/>
        </w:rPr>
        <w:t>ies</w:t>
      </w:r>
    </w:p>
    <w:p w14:paraId="1B78F125">
      <w:pPr>
        <w:spacing w:line="520" w:lineRule="exact"/>
      </w:pPr>
      <w:r>
        <w:t>公司设置尽职管理委员会、尽职管理工作办公室</w:t>
      </w:r>
      <w:r>
        <w:rPr>
          <w:rFonts w:hint="eastAsia"/>
        </w:rPr>
        <w:t>(包括合规总监、合规专员、各部门负责人)</w:t>
      </w:r>
      <w:r>
        <w:t>。</w:t>
      </w:r>
    </w:p>
    <w:p w14:paraId="09C7D07E">
      <w:pPr>
        <w:spacing w:line="520" w:lineRule="exact"/>
      </w:pPr>
      <w:r>
        <w:rPr>
          <w:rFonts w:hint="eastAsia"/>
        </w:rPr>
        <w:t>The company has established a Due Diligence Management Committee and a Due Diligence Management Office (which includes the Compliance Director, Compliance Officer, and heads of relevant departments).</w:t>
      </w:r>
    </w:p>
    <w:p w14:paraId="51963728">
      <w:pPr>
        <w:spacing w:line="520" w:lineRule="exact"/>
        <w:rPr>
          <w:sz w:val="21"/>
          <w:szCs w:val="24"/>
        </w:rPr>
      </w:pPr>
      <w:r>
        <w:rPr>
          <w:rFonts w:hint="eastAsia"/>
          <w:sz w:val="21"/>
          <w:szCs w:val="24"/>
        </w:rPr>
        <w:t>2.3尽职管理委员会</w:t>
      </w:r>
    </w:p>
    <w:p w14:paraId="0ACEDB04">
      <w:pPr>
        <w:spacing w:line="520" w:lineRule="exact"/>
        <w:rPr>
          <w:sz w:val="21"/>
          <w:szCs w:val="24"/>
        </w:rPr>
      </w:pPr>
      <w:r>
        <w:rPr>
          <w:rFonts w:hint="eastAsia"/>
          <w:sz w:val="21"/>
          <w:szCs w:val="24"/>
        </w:rPr>
        <w:t>2.3 Due Diligence Management Committee</w:t>
      </w:r>
    </w:p>
    <w:p w14:paraId="3CB4E7FE">
      <w:pPr>
        <w:spacing w:line="520" w:lineRule="exact"/>
      </w:pPr>
      <w:r>
        <w:rPr>
          <w:rFonts w:hint="eastAsia"/>
          <w:sz w:val="21"/>
          <w:szCs w:val="24"/>
        </w:rPr>
        <w:t>尽职管理委员会是云南滇金投资有限公司推行与落实LBMA负责任黄金采购体系的最高领导与决策机构。委员会成员均拥有20年以上黄金冶炼行业资深经验，在贵金属精炼、供应链管理及合</w:t>
      </w:r>
      <w:r>
        <w:rPr>
          <w:rFonts w:hint="eastAsia"/>
        </w:rPr>
        <w:t>规运营方面具备深厚的专业积淀与成熟的研判能力。他们长期深入参与公司原料采购与销售业务，熟悉全链条关键环节，能够从业务实践与风险管控双重视角，有效履行监督、评审与决策职能，从而为公司的负责任采购体系提供坚实的能力支撑与专业保障。</w:t>
      </w:r>
    </w:p>
    <w:p w14:paraId="0334D651">
      <w:pPr>
        <w:spacing w:line="520" w:lineRule="exact"/>
      </w:pPr>
      <w:r>
        <w:rPr>
          <w:rFonts w:hint="eastAsia"/>
        </w:rPr>
        <w:t>The Due Diligence Management Committee serves as the supreme leadership and decision-making body responsible for promoting and implementing the LBMA Responsible Gold Procurement System at Yunnan dianjin Investment Co., Ltd. All committee members possess over 20 years of extensive experience in the gold smelting industry, with profound expertise in precious metals refining, supply chain management, and compliance operations. Their long-term, in-depth involvement in the company’s raw material procurement and sales operations has equipped them with comprehensive knowledge of key processes across the entire supply chain. This enables them to effectively fulfill their supervisory, evaluative, and decision-making responsibilities from both operational and risk management perspectives, thereby providing robust capability support and professional assurance for the company’s responsible sourcing system.</w:t>
      </w:r>
    </w:p>
    <w:p w14:paraId="1D0E8924">
      <w:pPr>
        <w:spacing w:line="520" w:lineRule="exact"/>
      </w:pPr>
      <w:r>
        <w:rPr>
          <w:rFonts w:hint="eastAsia"/>
        </w:rPr>
        <w:t>尽职管理委员会主要职责包括：</w:t>
      </w:r>
    </w:p>
    <w:p w14:paraId="51AFE7E5">
      <w:pPr>
        <w:spacing w:line="520" w:lineRule="exact"/>
      </w:pPr>
      <w:r>
        <w:rPr>
          <w:rFonts w:hint="eastAsia"/>
        </w:rPr>
        <w:t>The primary responsibilities of the Due Diligence Management Committee include:</w:t>
      </w:r>
    </w:p>
    <w:p w14:paraId="64602769">
      <w:pPr>
        <w:spacing w:line="520" w:lineRule="exact"/>
      </w:pPr>
      <w:r>
        <w:rPr>
          <w:rFonts w:hint="eastAsia"/>
        </w:rPr>
        <w:t>(1)引入外部监督机制：适时利用独立外部专家或顾问，对供应链尽职调查框架的设计、执行与结果进行独立审阅与监督。</w:t>
      </w:r>
    </w:p>
    <w:p w14:paraId="57D4E493">
      <w:pPr>
        <w:spacing w:line="520" w:lineRule="exact"/>
      </w:pPr>
      <w:r>
        <w:rPr>
          <w:rFonts w:hint="eastAsia"/>
        </w:rPr>
        <w:t>(1) Introducing an external oversight mechanism: Engage independent external experts or consultants as appropriate to conduct independent reviews and oversight of the design, implementation, and outcomes of the supply chain due diligence framework.</w:t>
      </w:r>
    </w:p>
    <w:p w14:paraId="1D51B7CB">
      <w:pPr>
        <w:spacing w:line="520" w:lineRule="exact"/>
      </w:pPr>
      <w:r>
        <w:rPr>
          <w:rFonts w:hint="eastAsia"/>
        </w:rPr>
        <w:t>(2)强化内部问责体系：确保对供应链尽职调查政策与流程的有效性建立明确的内部问责机制，并完整保留相关评估、决策与问责记录。</w:t>
      </w:r>
    </w:p>
    <w:p w14:paraId="630498CC">
      <w:pPr>
        <w:spacing w:line="520" w:lineRule="exact"/>
      </w:pPr>
      <w:r>
        <w:rPr>
          <w:rFonts w:hint="eastAsia"/>
        </w:rPr>
        <w:t>(2) Strengthening the internal accountability system: Ensure the establishment of a clear internal accountability mechanism for the effectiveness of supply chain due diligence policies and processes, and maintain comprehensive records of related assessments, decision-making, and accountability.</w:t>
      </w:r>
    </w:p>
    <w:p w14:paraId="4266B0D6">
      <w:pPr>
        <w:spacing w:line="520" w:lineRule="exact"/>
      </w:pPr>
      <w:r>
        <w:rPr>
          <w:rFonts w:hint="eastAsia"/>
        </w:rPr>
        <w:t>(3)优化信息传达结构：评估包括公司政策在内的关键信息，是否已建立清晰、有效的传达路径与沟通流程，确保其准确、及时地传达至相关员工及黄金供应链合作方。</w:t>
      </w:r>
    </w:p>
    <w:p w14:paraId="789ADCB4">
      <w:pPr>
        <w:spacing w:line="520" w:lineRule="exact"/>
      </w:pPr>
      <w:r>
        <w:rPr>
          <w:rFonts w:hint="eastAsia"/>
        </w:rPr>
        <w:t>(3) Optimizing the information communication structure: Assess whether clear and effective communication pathways and processes have been established for key information, including company policies, to ensure its accurate and timely dissemination to relevant employees and gold supply chain counterparts.</w:t>
      </w:r>
    </w:p>
    <w:p w14:paraId="6811D2DC">
      <w:pPr>
        <w:spacing w:line="520" w:lineRule="exact"/>
      </w:pPr>
      <w:r>
        <w:rPr>
          <w:rFonts w:hint="eastAsia"/>
        </w:rPr>
        <w:t>(4)实施定期评审与持续改进：至少每年系统性地评估一次供应链尽职调查政策与流程的有效性，识别改进空间，推动管理体系持续优化。</w:t>
      </w:r>
    </w:p>
    <w:p w14:paraId="0ED32A4D">
      <w:pPr>
        <w:spacing w:line="520" w:lineRule="exact"/>
      </w:pPr>
      <w:r>
        <w:rPr>
          <w:rFonts w:hint="eastAsia"/>
        </w:rPr>
        <w:t>(4)Conducting regular reviews and continuous improvement: Systematically evaluate the effectiveness of supply chain due diligence policies and processes at least annually, identify areas for improvement, and promote the ongoing optimization of the management system.</w:t>
      </w:r>
    </w:p>
    <w:p w14:paraId="560A806C">
      <w:pPr>
        <w:spacing w:line="520" w:lineRule="exact"/>
      </w:pPr>
      <w:r>
        <w:rPr>
          <w:rFonts w:hint="eastAsia"/>
        </w:rPr>
        <w:t>(5)确立合规职能与资源保障：评估是否已任命具备相应资质的合规官，全面负责黄金供应链相关事务；并确保该职位在获取实施与监控尽职调查体系所需资源方面得到充分支持。</w:t>
      </w:r>
    </w:p>
    <w:p w14:paraId="6BED8EC4">
      <w:pPr>
        <w:spacing w:line="520" w:lineRule="exact"/>
      </w:pPr>
      <w:r>
        <w:rPr>
          <w:rFonts w:hint="eastAsia"/>
        </w:rPr>
        <w:t>(5) Establishing compliance functions and resource guarantees: Assess whether an appropriately qualified compliance officer has been appointed to take overall responsibility for gold supply chain-related matters; and ensure this position receives full support in accessing necessary resources for implementing and monitoring the due diligence system.</w:t>
      </w:r>
    </w:p>
    <w:p w14:paraId="138AE5C0">
      <w:pPr>
        <w:spacing w:line="520" w:lineRule="exact"/>
      </w:pPr>
      <w:r>
        <w:rPr>
          <w:rFonts w:hint="eastAsia"/>
        </w:rPr>
        <w:t>2.4</w:t>
      </w:r>
      <w:r>
        <w:t>尽职管理工作办公室</w:t>
      </w:r>
    </w:p>
    <w:p w14:paraId="529CA37B">
      <w:pPr>
        <w:spacing w:line="520" w:lineRule="exact"/>
      </w:pPr>
      <w:r>
        <w:t>2.4 Due Diligence Management Office</w:t>
      </w:r>
    </w:p>
    <w:p w14:paraId="5E389061">
      <w:pPr>
        <w:spacing w:line="520" w:lineRule="exact"/>
      </w:pPr>
      <w:r>
        <w:t>尽职管理工作办公室是云南滇金投资有限公司推行LBMA尽职管理体系的牵头负责部门，负责公司各业务环节尽责管理工作的开展和指导，设在营销部。主要职责：制定公司黄金采购尽责管理政策、制度、流程及工作计划；负责实施公司黄金采购尽责管理架构，指导、协调、报告公司风险评估、应对和监控等情况；负责组织公司黄金采购尽责管理知识的学习和专业培训； 协助公司</w:t>
      </w:r>
      <w:r>
        <w:rPr>
          <w:rFonts w:hint="eastAsia"/>
        </w:rPr>
        <w:t>总经理办公会</w:t>
      </w:r>
      <w:r>
        <w:t>召开尽责管理会议，讨论重大风险事项，执行公司决议，并监督、检查所属部门的落实情况，进行考核。</w:t>
      </w:r>
    </w:p>
    <w:p w14:paraId="3B07CC41">
      <w:pPr>
        <w:spacing w:line="520" w:lineRule="exact"/>
      </w:pPr>
      <w:r>
        <w:rPr>
          <w:rFonts w:hint="eastAsia"/>
        </w:rPr>
        <w:t>2.4 Due Diligence Management Office</w:t>
      </w:r>
    </w:p>
    <w:p w14:paraId="3533AC7C">
      <w:pPr>
        <w:spacing w:line="520" w:lineRule="exact"/>
      </w:pPr>
      <w:r>
        <w:rPr>
          <w:rFonts w:hint="eastAsia"/>
        </w:rPr>
        <w:t>The Due Diligence Management Office serves as the lead department responsible for implementing the LBMA due diligence management system at Yunnan dianjin Investment Co., Ltd. Established within the Marketing Department, it oversees and guides due diligence management across all business operations of the company. Its primary responsibilities include: formulating policies, systems, processes, and work plans for the company's gold procurement due diligence management; implementing the organizational structure for gold procurement due diligence; guiding, coordinating, and reporting on risk assessment, response, and monitoring activities; organizing knowledge learning and professional training on gold procurement due diligence; assisting the General Manager's Office in convening due diligence meetings to discuss major risk issues; implementing company resolutions; and supervising, inspecting, and evaluating the implementation progress of subordinate departments.</w:t>
      </w:r>
    </w:p>
    <w:p w14:paraId="1A6CE6D8">
      <w:pPr>
        <w:pStyle w:val="2"/>
        <w:spacing w:line="520" w:lineRule="exact"/>
        <w:rPr>
          <w:rStyle w:val="19"/>
        </w:rPr>
      </w:pPr>
      <w:r>
        <w:rPr>
          <w:rStyle w:val="19"/>
          <w:rFonts w:hint="eastAsia"/>
        </w:rPr>
        <w:t>2.5合规总监</w:t>
      </w:r>
    </w:p>
    <w:p w14:paraId="5EE09F1E">
      <w:pPr>
        <w:pStyle w:val="2"/>
        <w:spacing w:line="520" w:lineRule="exact"/>
        <w:rPr>
          <w:rStyle w:val="19"/>
        </w:rPr>
      </w:pPr>
      <w:r>
        <w:rPr>
          <w:rStyle w:val="19"/>
          <w:rFonts w:hint="eastAsia"/>
        </w:rPr>
        <w:t>2.5 Compliance Director</w:t>
      </w:r>
    </w:p>
    <w:p w14:paraId="6A453A02">
      <w:pPr>
        <w:pStyle w:val="2"/>
        <w:spacing w:line="520" w:lineRule="exact"/>
        <w:rPr>
          <w:rStyle w:val="19"/>
        </w:rPr>
      </w:pPr>
      <w:r>
        <w:rPr>
          <w:rStyle w:val="19"/>
          <w:rFonts w:hint="eastAsia"/>
        </w:rPr>
        <w:t>合规总监由公司总经理兼任，全面负责公司合规管理体系的构建与执行。其具备丰富的工作经验和系统的专业知识储备，熟悉公司整体运营流程，能够确保为供应链尽职调查流程及系统的运行、监督与优化提供充分资源支持，包括必要的能力配置与实践经验。</w:t>
      </w:r>
    </w:p>
    <w:p w14:paraId="7CCF3F15">
      <w:pPr>
        <w:pStyle w:val="2"/>
        <w:spacing w:line="520" w:lineRule="exact"/>
        <w:rPr>
          <w:rStyle w:val="19"/>
        </w:rPr>
      </w:pPr>
      <w:r>
        <w:rPr>
          <w:rStyle w:val="19"/>
        </w:rPr>
        <w:t xml:space="preserve">2.5 Compliance Director  </w:t>
      </w:r>
    </w:p>
    <w:p w14:paraId="35B3F919">
      <w:pPr>
        <w:pStyle w:val="2"/>
        <w:spacing w:line="520" w:lineRule="exact"/>
        <w:rPr>
          <w:rStyle w:val="19"/>
        </w:rPr>
      </w:pPr>
      <w:r>
        <w:rPr>
          <w:rStyle w:val="19"/>
        </w:rPr>
        <w:t>The Compliance Director, concurrently held by the Company's General Manager, oversees the establishment and execution of the corporate compliance management system. Possessing extensive working experience and systematic professional knowledge, the Director is well-versed in the company's overall operational processes. This ensures the provision of adequate resource support for the operation, supervision, and optimization of the supply chain due diligence processes and systems, including necessary competency allocation and practical experience.</w:t>
      </w:r>
    </w:p>
    <w:p w14:paraId="54680048">
      <w:pPr>
        <w:pStyle w:val="2"/>
        <w:spacing w:line="520" w:lineRule="exact"/>
        <w:rPr>
          <w:rStyle w:val="19"/>
        </w:rPr>
      </w:pPr>
      <w:r>
        <w:rPr>
          <w:rStyle w:val="19"/>
          <w:rFonts w:hint="eastAsia"/>
        </w:rPr>
        <w:t>各部门（包括营销部、生产部、生产技术部、综合部）负责人为其所辖职能领域合规管理的第一责任人，对相关业务的合规执行与风险控制承担首要责任。</w:t>
      </w:r>
    </w:p>
    <w:p w14:paraId="34DFBFF2">
      <w:pPr>
        <w:pStyle w:val="2"/>
        <w:spacing w:line="520" w:lineRule="exact"/>
        <w:rPr>
          <w:rStyle w:val="19"/>
        </w:rPr>
      </w:pPr>
      <w:r>
        <w:rPr>
          <w:rStyle w:val="19"/>
          <w:rFonts w:hint="eastAsia"/>
        </w:rPr>
        <w:t>各部门负责人主要职责如下：</w:t>
      </w:r>
    </w:p>
    <w:p w14:paraId="06D36F13">
      <w:pPr>
        <w:pStyle w:val="2"/>
        <w:spacing w:line="520" w:lineRule="exact"/>
        <w:rPr>
          <w:rStyle w:val="19"/>
        </w:rPr>
      </w:pPr>
      <w:r>
        <w:rPr>
          <w:rStyle w:val="19"/>
        </w:rPr>
        <w:t>Heads of all departments (including the Marketing Department, Production Department, Production Technology Department, and General Administration Department) serve as the first responsible persons for compliance management within their respective functional areas, bearing primary responsibility for compliance execution and risk control in relevant business operations.</w:t>
      </w:r>
    </w:p>
    <w:p w14:paraId="7858DC4E">
      <w:pPr>
        <w:pStyle w:val="2"/>
        <w:spacing w:line="520" w:lineRule="exact"/>
        <w:rPr>
          <w:rStyle w:val="19"/>
        </w:rPr>
      </w:pPr>
      <w:r>
        <w:rPr>
          <w:rStyle w:val="19"/>
        </w:rPr>
        <w:t>The primary responsibilities of department heads are as follows:</w:t>
      </w:r>
    </w:p>
    <w:p w14:paraId="04088337">
      <w:pPr>
        <w:pStyle w:val="2"/>
        <w:numPr>
          <w:ilvl w:val="0"/>
          <w:numId w:val="2"/>
        </w:numPr>
        <w:spacing w:line="520" w:lineRule="exact"/>
        <w:rPr>
          <w:rStyle w:val="19"/>
        </w:rPr>
      </w:pPr>
      <w:r>
        <w:rPr>
          <w:rStyle w:val="19"/>
          <w:rFonts w:hint="eastAsia"/>
        </w:rPr>
        <w:t>贯彻执行与本部门及专业领域相关的黄金采购尽责管理政策；</w:t>
      </w:r>
    </w:p>
    <w:p w14:paraId="559E9797">
      <w:pPr>
        <w:pStyle w:val="2"/>
        <w:numPr>
          <w:ilvl w:val="255"/>
          <w:numId w:val="0"/>
        </w:numPr>
        <w:spacing w:line="520" w:lineRule="exact"/>
        <w:ind w:firstLine="420" w:firstLineChars="200"/>
        <w:rPr>
          <w:rStyle w:val="19"/>
        </w:rPr>
      </w:pPr>
      <w:r>
        <w:rPr>
          <w:rStyle w:val="19"/>
          <w:rFonts w:hint="eastAsia"/>
        </w:rPr>
        <w:t>（</w:t>
      </w:r>
      <w:r>
        <w:rPr>
          <w:rStyle w:val="19"/>
        </w:rPr>
        <w:t>1</w:t>
      </w:r>
      <w:r>
        <w:rPr>
          <w:rStyle w:val="19"/>
          <w:rFonts w:hint="eastAsia"/>
        </w:rPr>
        <w:t>）</w:t>
      </w:r>
      <w:r>
        <w:rPr>
          <w:rStyle w:val="19"/>
        </w:rPr>
        <w:t>Implement the responsible gold procurement management policies pertaining to their respective departments and professional domains.</w:t>
      </w:r>
    </w:p>
    <w:p w14:paraId="402A680D">
      <w:pPr>
        <w:pStyle w:val="2"/>
        <w:spacing w:line="520" w:lineRule="exact"/>
        <w:rPr>
          <w:rStyle w:val="19"/>
        </w:rPr>
      </w:pPr>
      <w:r>
        <w:rPr>
          <w:rStyle w:val="19"/>
          <w:rFonts w:hint="eastAsia"/>
        </w:rPr>
        <w:t>（2）每年年底组织开展本部门及相关业务领域的风险调查、识别、分析和评估，并对风险信息的准确性与完整性进行审核；</w:t>
      </w:r>
    </w:p>
    <w:p w14:paraId="35E69FA7">
      <w:pPr>
        <w:pStyle w:val="2"/>
        <w:spacing w:line="520" w:lineRule="exact"/>
        <w:rPr>
          <w:rStyle w:val="19"/>
        </w:rPr>
      </w:pPr>
      <w:r>
        <w:rPr>
          <w:rStyle w:val="19"/>
          <w:rFonts w:hint="eastAsia"/>
        </w:rPr>
        <w:t>（</w:t>
      </w:r>
      <w:r>
        <w:rPr>
          <w:rStyle w:val="19"/>
        </w:rPr>
        <w:t>2</w:t>
      </w:r>
      <w:r>
        <w:rPr>
          <w:rStyle w:val="19"/>
          <w:rFonts w:hint="eastAsia"/>
        </w:rPr>
        <w:t>）</w:t>
      </w:r>
      <w:r>
        <w:rPr>
          <w:rStyle w:val="19"/>
        </w:rPr>
        <w:t xml:space="preserve"> Conduct risk investigation, identification, analysis, and assessment for the department and relevant business areas at the end of each year, and review the accuracy and completeness of risk information.</w:t>
      </w:r>
    </w:p>
    <w:p w14:paraId="6B8796D7">
      <w:pPr>
        <w:pStyle w:val="2"/>
        <w:spacing w:line="520" w:lineRule="exact"/>
        <w:rPr>
          <w:rStyle w:val="19"/>
        </w:rPr>
      </w:pPr>
      <w:r>
        <w:rPr>
          <w:rStyle w:val="19"/>
          <w:rFonts w:hint="eastAsia"/>
        </w:rPr>
        <w:t>（3）每年年底向上级报送本部门及相关专业领域识别出的重大风险情况；</w:t>
      </w:r>
    </w:p>
    <w:p w14:paraId="4BB2B9C1">
      <w:pPr>
        <w:pStyle w:val="2"/>
        <w:spacing w:line="520" w:lineRule="exact"/>
        <w:rPr>
          <w:rStyle w:val="19"/>
        </w:rPr>
      </w:pPr>
      <w:r>
        <w:rPr>
          <w:rStyle w:val="19"/>
          <w:rFonts w:hint="eastAsia"/>
        </w:rPr>
        <w:t>（</w:t>
      </w:r>
      <w:r>
        <w:rPr>
          <w:rStyle w:val="19"/>
        </w:rPr>
        <w:t>3</w:t>
      </w:r>
      <w:r>
        <w:rPr>
          <w:rStyle w:val="19"/>
          <w:rFonts w:hint="eastAsia"/>
        </w:rPr>
        <w:t>）</w:t>
      </w:r>
      <w:r>
        <w:rPr>
          <w:rStyle w:val="19"/>
        </w:rPr>
        <w:t>Submit to the superior the major risks identified in the department and relevant professional fields at the end of each year.</w:t>
      </w:r>
    </w:p>
    <w:p w14:paraId="228D0080">
      <w:pPr>
        <w:pStyle w:val="2"/>
        <w:spacing w:line="520" w:lineRule="exact"/>
        <w:rPr>
          <w:rStyle w:val="19"/>
        </w:rPr>
      </w:pPr>
      <w:r>
        <w:rPr>
          <w:rStyle w:val="19"/>
          <w:rFonts w:hint="eastAsia"/>
        </w:rPr>
        <w:t>（4）在本部门作为主要风险责任部门时，牵头协调各相关单位，共同制定并落实可行的风险应对与管控方案；</w:t>
      </w:r>
    </w:p>
    <w:p w14:paraId="1658EABF">
      <w:pPr>
        <w:pStyle w:val="2"/>
        <w:spacing w:line="520" w:lineRule="exact"/>
        <w:rPr>
          <w:rStyle w:val="19"/>
        </w:rPr>
      </w:pPr>
      <w:r>
        <w:rPr>
          <w:rStyle w:val="19"/>
          <w:rFonts w:hint="eastAsia"/>
        </w:rPr>
        <w:t>（</w:t>
      </w:r>
      <w:r>
        <w:rPr>
          <w:rStyle w:val="19"/>
        </w:rPr>
        <w:t>4</w:t>
      </w:r>
      <w:r>
        <w:rPr>
          <w:rStyle w:val="19"/>
          <w:rFonts w:hint="eastAsia"/>
        </w:rPr>
        <w:t>）</w:t>
      </w:r>
      <w:r>
        <w:rPr>
          <w:rStyle w:val="19"/>
        </w:rPr>
        <w:t>When the department serves as the primary risk‑responsible department, take the lead in coordinating with all relevant units to jointly formulate and implement feasible risk response and control plans.</w:t>
      </w:r>
    </w:p>
    <w:p w14:paraId="6C32565C">
      <w:pPr>
        <w:pStyle w:val="2"/>
        <w:spacing w:line="520" w:lineRule="exact"/>
        <w:rPr>
          <w:rStyle w:val="19"/>
        </w:rPr>
      </w:pPr>
      <w:r>
        <w:rPr>
          <w:rStyle w:val="19"/>
          <w:rFonts w:hint="eastAsia"/>
        </w:rPr>
        <w:t>（5）在日常业务中如发现涉及供应商的黄金采购尽责管理问题，应及时向公司黄金采购尽责管理办公室报告，并组织开展调查，完整记录相关证据、处理过程与处理结果，确保问题闭环管理。</w:t>
      </w:r>
    </w:p>
    <w:p w14:paraId="6227F15E">
      <w:pPr>
        <w:pStyle w:val="2"/>
        <w:spacing w:line="520" w:lineRule="exact"/>
        <w:rPr>
          <w:rStyle w:val="19"/>
        </w:rPr>
      </w:pPr>
      <w:r>
        <w:rPr>
          <w:rStyle w:val="19"/>
        </w:rPr>
        <w:t>(5) If any issues related to suppliers' responsible gold procurement management are identified during daily operations, they shall promptly report to the company's Responsible Gold Procurement Management Office, initiate investigations, thoroughly document relevant evidence, handling procedures, and outcomes to ensure closed-loop management of the issues.</w:t>
      </w:r>
    </w:p>
    <w:p w14:paraId="31639D35">
      <w:pPr>
        <w:spacing w:line="520" w:lineRule="exact"/>
      </w:pPr>
      <w:r>
        <w:rPr>
          <w:rFonts w:hint="eastAsia"/>
        </w:rPr>
        <w:t>2.6</w:t>
      </w:r>
      <w:r>
        <w:t>合规</w:t>
      </w:r>
      <w:r>
        <w:rPr>
          <w:rFonts w:hint="eastAsia"/>
        </w:rPr>
        <w:t>专员</w:t>
      </w:r>
    </w:p>
    <w:p w14:paraId="5592CFF9">
      <w:pPr>
        <w:spacing w:line="520" w:lineRule="exact"/>
      </w:pPr>
      <w:r>
        <w:rPr>
          <w:rFonts w:hint="eastAsia"/>
        </w:rPr>
        <w:t xml:space="preserve">2.6 </w:t>
      </w:r>
      <w:r>
        <w:t>Compliance</w:t>
      </w:r>
      <w:r>
        <w:rPr>
          <w:rFonts w:hint="eastAsia"/>
        </w:rPr>
        <w:t xml:space="preserve"> Officer</w:t>
      </w:r>
    </w:p>
    <w:p w14:paraId="7C415580">
      <w:pPr>
        <w:spacing w:line="520" w:lineRule="exact"/>
      </w:pPr>
      <w:r>
        <w:rPr>
          <w:rFonts w:hint="eastAsia"/>
        </w:rPr>
        <w:t>公司设合规专员岗位，由营销部经理兼任。该专员具备丰富的行业经验与扎实的专业知识，长期从事负责任采购审核与供应链识别工作，全面符合LBMA相关要求的专业能力、知识体系与实践经验。合规专员的责任包括审查黄金供应链尽职调查过程和系统，以满足 RGG 的目标和精炼商的风险管理需求。 确保包括公司政策在内的关键信息具有有效的结构和沟通流程，能够传达至相关员工和黄金供应对手方。 确保有足够的资源(包括能力和经验)来支持供应链尽职调查流程和系统的运作和监控。 就供应链风险(包括威胁融资和 ESG)对员工进行培训，制定和更新精炼商的黄金供应链政策和程序。审阅了解客户 (KYC) 文件和风险分类，必要时要求提供额外的文件或信息。 确保针对高风险供应链或交易执行适当的措施。 为总经理办公会履行其职责提供适当和及时的资料。</w:t>
      </w:r>
    </w:p>
    <w:p w14:paraId="717A0BBA">
      <w:pPr>
        <w:spacing w:line="520" w:lineRule="exact"/>
      </w:pPr>
      <w:r>
        <w:rPr>
          <w:rFonts w:hint="eastAsia"/>
        </w:rPr>
        <w:t>2.6 The company has established the position of Compliance Officer, which is held concurrently by the Marketing Department Manager. This officer possesses extensive industry experience and solid professional knowledge, with long-term engagement in responsible procurement audits and supply chain identification. The officer fully meets the professional competencies, knowledge framework, and practical experience required by LBMA standards. Responsibilities of the Compliance Officer include reviewing the gold supply chain due diligence processes and systems to fulfill the objectives of the RGG and address the refiner’s risk management needs. This includes ensuring that key information, such as company policies, is effectively structured and communicated to relevant employees and gold supply counterparts, and that adequate resources (including competencies and experience) are available to support the operation and monitoring of supply chain due diligence processes and systems. The officer is also responsible for training employees on supply chain risks (including threat finance and ESG), developing and updating the refiner’s gold supply chain policies and procedures, reviewing Know Your Customer (KYC) documents and risk classifications, and requesting additional documentation or information as necessary. Additionally, the officer ensures that appropriate measures are implemented for high-risk supply chains or transactions and provides timely and appropriate information to the General Manager’s Office to support its duties.</w:t>
      </w:r>
    </w:p>
    <w:p w14:paraId="7220E4EA">
      <w:pPr>
        <w:spacing w:line="520" w:lineRule="exact"/>
      </w:pPr>
      <w:r>
        <w:rPr>
          <w:rFonts w:hint="eastAsia"/>
        </w:rPr>
        <w:t>3.1培训</w:t>
      </w:r>
    </w:p>
    <w:p w14:paraId="72FAD912">
      <w:pPr>
        <w:spacing w:line="520" w:lineRule="exact"/>
      </w:pPr>
      <w:r>
        <w:rPr>
          <w:rFonts w:hint="eastAsia"/>
        </w:rPr>
        <w:t>3.1 Training</w:t>
      </w:r>
    </w:p>
    <w:p w14:paraId="1C666F51">
      <w:pPr>
        <w:spacing w:line="520" w:lineRule="exact"/>
      </w:pPr>
      <w:r>
        <w:rPr>
          <w:rFonts w:hint="eastAsia"/>
        </w:rPr>
        <w:t>公司每年将供应链尽职调查管理培训纳入公司年度培训计划当中，组织公司重点岗位以及合规专员对供应链尽职调查管理的要求、供应链风险评估、供应链强迫劳动风险管理、LBMA负责任黄金指南、LBMA负责任黄金指南V</w:t>
      </w:r>
      <w:r>
        <w:t>9</w:t>
      </w:r>
      <w:r>
        <w:rPr>
          <w:rFonts w:hint="eastAsia"/>
        </w:rPr>
        <w:t>、GBI数据填报进行培训，并对公司全员开展供应链强迫劳动风险、ESG风险培训，确保供应链尽职调查管理工作落到实处。2025年我公司共开展了2次LBMA相关内容的培训工作，参训人员22人来自</w:t>
      </w:r>
      <w:r>
        <w:t>尽职管理委员会、尽职管理工作办公室和</w:t>
      </w:r>
      <w:r>
        <w:rPr>
          <w:rFonts w:hint="eastAsia"/>
        </w:rPr>
        <w:t>公司各部门，培训人数占比23%，并由学员填写了培训效果反馈表，整体培训效果非常好。</w:t>
      </w:r>
    </w:p>
    <w:p w14:paraId="20C93FEF">
      <w:pPr>
        <w:spacing w:line="520" w:lineRule="exact"/>
      </w:pPr>
      <w:r>
        <w:rPr>
          <w:rFonts w:hint="eastAsia"/>
        </w:rPr>
        <w:t xml:space="preserve">The Company incorporates supply chain due diligence management training into the annual training plan of the Company every year, and organizes key positions in the Company and the compliance officer provides training on the requirements for supply chain due diligence management, supply chain risk assessment, supply chain forced labor risk management, LBMA Responsible Gold </w:t>
      </w:r>
      <w:r>
        <w:t>Guidance</w:t>
      </w:r>
      <w:r>
        <w:rPr>
          <w:rFonts w:hint="eastAsia"/>
        </w:rPr>
        <w:t xml:space="preserve">, </w:t>
      </w:r>
      <w:r>
        <w:t xml:space="preserve">GBI Platform reporting process </w:t>
      </w:r>
      <w:r>
        <w:rPr>
          <w:rFonts w:hint="eastAsia"/>
        </w:rPr>
        <w:t>and conducts training on all aspects of the company, including supply chain forced labor risk and ESG risk training, to ensure the implementation of supply chain due diligence management. Our Company has carried out a total of twice of LBMA related training in 2025. 22 trainees came from Due Diligence Management Committee</w:t>
      </w:r>
      <w:r>
        <w:t xml:space="preserve">, </w:t>
      </w:r>
      <w:r>
        <w:rPr>
          <w:rFonts w:hint="eastAsia"/>
        </w:rPr>
        <w:t xml:space="preserve">Due Diligence Management Office </w:t>
      </w:r>
      <w:r>
        <w:t xml:space="preserve">and </w:t>
      </w:r>
      <w:r>
        <w:rPr>
          <w:rFonts w:hint="eastAsia"/>
        </w:rPr>
        <w:t>various departments of the company, accounting for 23% of the total number of trainees. The trainees filled out the training effectiveness feedback form, and the overall training effect was very good.</w:t>
      </w:r>
    </w:p>
    <w:p w14:paraId="63A66E91">
      <w:pPr>
        <w:spacing w:line="520" w:lineRule="exact"/>
      </w:pPr>
      <w:r>
        <w:rPr>
          <w:rFonts w:hint="eastAsia"/>
        </w:rPr>
        <w:t>4.1管理评审</w:t>
      </w:r>
    </w:p>
    <w:p w14:paraId="02EC9A1B">
      <w:pPr>
        <w:spacing w:line="520" w:lineRule="exact"/>
      </w:pPr>
      <w:r>
        <w:rPr>
          <w:rFonts w:hint="eastAsia"/>
        </w:rPr>
        <w:t>4.1Management Review</w:t>
      </w:r>
    </w:p>
    <w:p w14:paraId="49E0A0BA">
      <w:pPr>
        <w:spacing w:line="520" w:lineRule="exact"/>
        <w:rPr>
          <w:rFonts w:hint="eastAsia"/>
        </w:rPr>
      </w:pPr>
      <w:r>
        <w:rPr>
          <w:rFonts w:hint="eastAsia"/>
        </w:rPr>
        <w:t>公司已经建立了内部管理制度，按照出台的政策对管理、作用和职责、内部审计、沟通进行界定、并开展高级管理层评审。公司已于2025年12月31进行了管理评审，并出具了书面管理评审结论。在定期进行的总经办会议中，合规总监会总结尽职调查的相关内容，包括风险风险识别和评估，和合规报告中需要披露的内容的审批。</w:t>
      </w:r>
    </w:p>
    <w:p w14:paraId="4982CBC6">
      <w:pPr>
        <w:spacing w:line="520" w:lineRule="exact"/>
      </w:pPr>
      <w:r>
        <w:rPr>
          <w:rFonts w:hint="eastAsia"/>
        </w:rPr>
        <w:t>The Company has established an internal management system and issued policies to define the management, roles and responsibilities, internal audit and communication and carry out senior management review. The Company has conducted management review on December 31, 2025 and issued management review conclusion in written. In</w:t>
      </w:r>
      <w:r>
        <w:t xml:space="preserve"> the regular meetings of the General Manager Office, the Compliance Officer provides a structured summary of key due diligence activities, encompassing risk identification and assessment, and reviews and approves the content to be disclosed in compliance reports.</w:t>
      </w:r>
    </w:p>
    <w:p w14:paraId="39D0515B">
      <w:pPr>
        <w:spacing w:line="520" w:lineRule="exact"/>
      </w:pPr>
      <w:r>
        <w:rPr>
          <w:rFonts w:hint="eastAsia"/>
        </w:rPr>
        <w:t>5.1通过官方银行渠道付款</w:t>
      </w:r>
    </w:p>
    <w:p w14:paraId="07CDF584">
      <w:pPr>
        <w:spacing w:line="520" w:lineRule="exact"/>
      </w:pPr>
      <w:r>
        <w:rPr>
          <w:rFonts w:hint="eastAsia"/>
        </w:rPr>
        <w:t>5.1 Payment through official bank channels</w:t>
      </w:r>
    </w:p>
    <w:p w14:paraId="03507A2F">
      <w:pPr>
        <w:spacing w:line="520" w:lineRule="exact"/>
      </w:pPr>
      <w:r>
        <w:rPr>
          <w:rFonts w:hint="eastAsia"/>
        </w:rPr>
        <w:t>公司已制定《现金支付管理政策》，明确禁止在任何黄金交易中使用现金支付。此举旨在严格遵循国际反洗钱与负责任供应链管理的最高标准，从源头杜绝因现金交易匿名性而可能引发的洗钱、逃税、贿赂及来源不明等重大风险，确保交易全程透明、可追溯。本政策的建立与执行，进一步强化了本公司在LBMA合规框架下的内部控制体系，体现了我们对打造安全、透明、负责任供应链的坚定承诺。公司在支付货款时，由营销部发起资金支付程序，由财务部审核、经营班子审批后，通过公司基本户所在的银行网上付款，并打印银行回单作为凭证附件保留，2025年度我公司均采用网银支付，无现金交易的情况。</w:t>
      </w:r>
    </w:p>
    <w:p w14:paraId="416C1D83">
      <w:pPr>
        <w:spacing w:line="520" w:lineRule="exact"/>
      </w:pPr>
      <w:r>
        <w:rPr>
          <w:rFonts w:hint="eastAsia"/>
        </w:rPr>
        <w:t>The company has established a Cash Payment Management Policy that explicitly prohibits the use of cash payments in any gold transactions. This measure is designed to strictly adhere to the highest international standards of anti-money laundering and responsible supply chain management, eliminating at the source major risks such as money laundering, tax evasion, bribery, and unidentified fund sources that may arise from the anonymity of cash transactions. This ensures full transparency and traceability throughout the transaction process. The formulation and implementation of this policy further strengthen the company's internal control system under the LBMA compliance framework, demonstrating our firm commitment to building a secure, transparent, and responsible supply chain.</w:t>
      </w:r>
    </w:p>
    <w:p w14:paraId="6BB50C85">
      <w:pPr>
        <w:spacing w:line="520" w:lineRule="exact"/>
      </w:pPr>
      <w:r>
        <w:rPr>
          <w:rFonts w:hint="eastAsia"/>
        </w:rPr>
        <w:t>For payment processing, the Marketing Department initiates the fund transfer procedure, which is then reviewed by the Finance Department and approved by senior management. Payments are made via online banking through the company's primary bank account, with bank receipts printed and retained as supporting documentation. Throughout 2025, the company exclusively utilized online banking for all transactions, with no instances of cash payments.</w:t>
      </w:r>
    </w:p>
    <w:p w14:paraId="1BAE4AAC">
      <w:pPr>
        <w:spacing w:line="520" w:lineRule="exact"/>
      </w:pPr>
      <w:r>
        <w:rPr>
          <w:rFonts w:hint="eastAsia"/>
        </w:rPr>
        <w:t>6.1维护资料</w:t>
      </w:r>
    </w:p>
    <w:p w14:paraId="087361CF">
      <w:pPr>
        <w:spacing w:line="520" w:lineRule="exact"/>
      </w:pPr>
      <w:r>
        <w:rPr>
          <w:rFonts w:hint="eastAsia"/>
        </w:rPr>
        <w:t>6.1 Data maintenance</w:t>
      </w:r>
    </w:p>
    <w:p w14:paraId="4D7BF3F3">
      <w:pPr>
        <w:spacing w:line="520" w:lineRule="exact"/>
      </w:pPr>
      <w:r>
        <w:rPr>
          <w:rFonts w:hint="eastAsia"/>
        </w:rPr>
        <w:t>在业务开展前，我公司会收集供应商营业执照、资质验证资料、KYC调查表、环保相关资料、货物移交单、化验单、结算单、银行转账记录、尽职调查相关记录、供应链风险评估、供应链强迫劳动调查记录等资料保存5年以上。</w:t>
      </w:r>
    </w:p>
    <w:p w14:paraId="274AA27F">
      <w:pPr>
        <w:spacing w:line="520" w:lineRule="exact"/>
      </w:pPr>
      <w:r>
        <w:rPr>
          <w:rFonts w:hint="eastAsia"/>
        </w:rPr>
        <w:t>Our company will collect data such as supplier business license, qualification verification data, KYC survey form, environment protection related information before the business begins. Related records such as delivery sheet, laboratory sheet, settlement sheet, bank transfer records, Due diligence related records, supply chain risk assessment, supply chain forced labor investigation records, and other materials should be kept for more than 5 years.</w:t>
      </w:r>
    </w:p>
    <w:p w14:paraId="7548A738">
      <w:pPr>
        <w:spacing w:line="520" w:lineRule="exact"/>
      </w:pPr>
      <w:r>
        <w:rPr>
          <w:rFonts w:hint="eastAsia"/>
        </w:rPr>
        <w:t>7.1</w:t>
      </w:r>
      <w:r>
        <w:rPr>
          <w:rFonts w:hint="eastAsia"/>
        </w:rPr>
        <w:tab/>
      </w:r>
      <w:r>
        <w:t>强有力的内部追溯体系</w:t>
      </w:r>
    </w:p>
    <w:p w14:paraId="7F43FB50">
      <w:pPr>
        <w:spacing w:line="520" w:lineRule="exact"/>
      </w:pPr>
      <w:r>
        <w:rPr>
          <w:rFonts w:hint="eastAsia"/>
        </w:rPr>
        <w:t>7.1</w:t>
      </w:r>
      <w:r>
        <w:t xml:space="preserve"> </w:t>
      </w:r>
      <w:r>
        <w:rPr>
          <w:rFonts w:hint="eastAsia"/>
        </w:rPr>
        <w:t xml:space="preserve"> </w:t>
      </w:r>
      <w:r>
        <w:t>Strong internal traceability system</w:t>
      </w:r>
    </w:p>
    <w:p w14:paraId="6E0D2286">
      <w:pPr>
        <w:spacing w:line="520" w:lineRule="exact"/>
      </w:pPr>
      <w:r>
        <w:rPr>
          <w:rFonts w:hint="eastAsia"/>
        </w:rPr>
        <w:t>我公司会对所有的供应商进行尽职调查，填写</w:t>
      </w:r>
      <w:bookmarkStart w:id="2" w:name="OLE_LINK2"/>
      <w:bookmarkStart w:id="3" w:name="OLE_LINK3"/>
      <w:r>
        <w:t>KYC</w:t>
      </w:r>
      <w:r>
        <w:rPr>
          <w:rFonts w:hint="eastAsia"/>
        </w:rPr>
        <w:t>问卷</w:t>
      </w:r>
      <w:bookmarkEnd w:id="2"/>
      <w:bookmarkEnd w:id="3"/>
      <w:r>
        <w:rPr>
          <w:rFonts w:hint="eastAsia"/>
        </w:rPr>
        <w:t>，尽职调查完成后签订合同并要求供应商出具《供应商社会承诺书》，承诺原料合法合规，符合《云南滇金投资有限公司黄金供应链管理政策》要求。</w:t>
      </w:r>
    </w:p>
    <w:p w14:paraId="08F24F44">
      <w:pPr>
        <w:spacing w:line="520" w:lineRule="exact"/>
      </w:pPr>
      <w:r>
        <w:t xml:space="preserve">Our company will </w:t>
      </w:r>
      <w:r>
        <w:rPr>
          <w:rFonts w:hint="eastAsia"/>
        </w:rPr>
        <w:t>carry out</w:t>
      </w:r>
      <w:r>
        <w:t xml:space="preserve"> due diligence on all suppliers and fill in KYC questionnaires</w:t>
      </w:r>
      <w:r>
        <w:rPr>
          <w:rFonts w:hint="eastAsia"/>
        </w:rPr>
        <w:t>. T</w:t>
      </w:r>
      <w:r>
        <w:t xml:space="preserve">he contract </w:t>
      </w:r>
      <w:r>
        <w:rPr>
          <w:rFonts w:hint="eastAsia"/>
        </w:rPr>
        <w:t>should be</w:t>
      </w:r>
      <w:r>
        <w:t xml:space="preserve"> signed and the supplier is required to issue a</w:t>
      </w:r>
      <w:r>
        <w:rPr>
          <w:i/>
        </w:rPr>
        <w:t xml:space="preserve"> Suppliers’ Social Responsibility Commitment Letter</w:t>
      </w:r>
      <w:r>
        <w:t xml:space="preserve"> to promise that the raw materials are legal and compliant and </w:t>
      </w:r>
      <w:r>
        <w:rPr>
          <w:rFonts w:hint="eastAsia"/>
        </w:rPr>
        <w:t>comply</w:t>
      </w:r>
      <w:r>
        <w:t xml:space="preserve"> with </w:t>
      </w:r>
      <w:r>
        <w:rPr>
          <w:rFonts w:hint="eastAsia"/>
        </w:rPr>
        <w:t xml:space="preserve">requirements of </w:t>
      </w:r>
      <w:r>
        <w:rPr>
          <w:i/>
        </w:rPr>
        <w:t>Gold Supply Chain Management Policy of Yunnan Dianjin Investment Co., Ltd.</w:t>
      </w:r>
      <w:r>
        <w:rPr>
          <w:rFonts w:hint="eastAsia"/>
        </w:rPr>
        <w:t xml:space="preserve"> a</w:t>
      </w:r>
      <w:r>
        <w:t>fter the due diligence is completed</w:t>
      </w:r>
      <w:r>
        <w:rPr>
          <w:rFonts w:hint="eastAsia"/>
        </w:rPr>
        <w:t>.</w:t>
      </w:r>
    </w:p>
    <w:p w14:paraId="52D79C6C">
      <w:pPr>
        <w:spacing w:line="520" w:lineRule="exact"/>
      </w:pPr>
      <w:r>
        <w:rPr>
          <w:rFonts w:hint="eastAsia"/>
        </w:rPr>
        <w:t>7.2</w:t>
      </w:r>
      <w:r>
        <w:t>供应链可追溯体系</w:t>
      </w:r>
    </w:p>
    <w:p w14:paraId="3498C855">
      <w:pPr>
        <w:spacing w:line="520" w:lineRule="exact"/>
      </w:pPr>
      <w:r>
        <w:rPr>
          <w:rFonts w:hint="eastAsia"/>
        </w:rPr>
        <w:t xml:space="preserve">7.2 </w:t>
      </w:r>
      <w:r>
        <w:t>Supply chain traceability system</w:t>
      </w:r>
    </w:p>
    <w:p w14:paraId="644A2A56">
      <w:pPr>
        <w:spacing w:line="520" w:lineRule="exact"/>
      </w:pPr>
      <w:r>
        <w:t>公司建立了一套供应链可追溯体系</w:t>
      </w:r>
      <w:r>
        <w:rPr>
          <w:rFonts w:hint="eastAsia"/>
        </w:rPr>
        <w:t>，使用电子文档进行记录和管理，对每个供应商</w:t>
      </w:r>
      <w:r>
        <w:t>移交云南滇金投资有限公司的原料</w:t>
      </w:r>
      <w:r>
        <w:rPr>
          <w:rFonts w:hint="eastAsia"/>
        </w:rPr>
        <w:t>进行</w:t>
      </w:r>
      <w:r>
        <w:t>记录，包括供应商名称、移交日期、移交重量、成色</w:t>
      </w:r>
      <w:r>
        <w:rPr>
          <w:rFonts w:hint="eastAsia"/>
        </w:rPr>
        <w:t>、上游供应商溯源信息、货物运输路线信息</w:t>
      </w:r>
      <w:r>
        <w:t>等</w:t>
      </w:r>
      <w:r>
        <w:rPr>
          <w:rFonts w:hint="eastAsia"/>
        </w:rPr>
        <w:t>。对于所有进口原料，我公司会审查其报关单、原产地证明及相关的物流单据，确保其运输路径清晰、合规</w:t>
      </w:r>
      <w:r>
        <w:t>。每一批出库标准金锭均分配唯一编号，并有出库台账记录，包括出库日期、出库重量等，并通过上海黄金交易所进行销售。</w:t>
      </w:r>
      <w:r>
        <w:rPr>
          <w:rFonts w:hint="eastAsia"/>
        </w:rPr>
        <w:t>2025年我公司采购的原料类型如下：回收金：都来自中国市场；矿产金：大部分来自中国，少量来自老挝；副产品：铜副产品，铅副产品，锌副产品，含量均在 2% 以下，都来自位于中国黄金分地点的精炼厂，这些矿物的原产国分别为，智利，西班牙和中国。</w:t>
      </w:r>
    </w:p>
    <w:p w14:paraId="0C470DB2">
      <w:pPr>
        <w:spacing w:line="520" w:lineRule="exact"/>
        <w:ind w:firstLine="0" w:firstLineChars="0"/>
      </w:pPr>
      <w:r>
        <w:rPr>
          <w:rFonts w:hint="eastAsia"/>
        </w:rPr>
        <w:t>2025年，我公司的原料来源于中国，老挝，西班牙，智利，经查询，以上国家均不是 EITI 执行国。2025年，我公司的原料来源于中国，老挝，西班牙，智利，经查询，我公司接收物料均不来自于世界黄金协会(WGC)矿山和矿业公司。2025年度未出现原料来源异常情况。</w:t>
      </w:r>
    </w:p>
    <w:p w14:paraId="1CE52116">
      <w:pPr>
        <w:spacing w:line="520" w:lineRule="exact"/>
      </w:pPr>
      <w:r>
        <w:rPr>
          <w:rFonts w:hint="eastAsia"/>
        </w:rPr>
        <w:t>The company has established a supply chain traceability system that utilizes electronic documentation for recording and management. This system documents all raw materials transferred to Yunnan dianjin Investment Co., Ltd. from each supplier, including supplier name, transfer date, transfer weight, purity, traceability information of upstream suppliers, and goods transportation route details. For all imported raw materials, the company reviews customs declarations, certificates of origin, and related logistics documents to ensure transparent and compliant transportation routes. Each batch of outbound standard gold ingots is assigned a unique serial number and recorded in an outbound ledger, including the outbound date and weight, with all sales conducted through the Shanghai Gold Exchange.</w:t>
      </w:r>
    </w:p>
    <w:p w14:paraId="1D32FE0B">
      <w:pPr>
        <w:spacing w:line="520" w:lineRule="exact"/>
      </w:pPr>
      <w:r>
        <w:rPr>
          <w:rFonts w:hint="eastAsia"/>
        </w:rPr>
        <w:t>In 2025, the company's raw material procurement was categorized as follows:</w:t>
      </w:r>
    </w:p>
    <w:p w14:paraId="4848B68D">
      <w:pPr>
        <w:spacing w:line="520" w:lineRule="exact"/>
      </w:pPr>
      <w:r>
        <w:rPr>
          <w:rFonts w:hint="eastAsia"/>
        </w:rPr>
        <w:t>• Recycled gold: Entirely sourced from the Chinese market.</w:t>
      </w:r>
    </w:p>
    <w:p w14:paraId="28900ECC">
      <w:pPr>
        <w:spacing w:line="520" w:lineRule="exact"/>
      </w:pPr>
      <w:r>
        <w:rPr>
          <w:rFonts w:hint="eastAsia"/>
        </w:rPr>
        <w:t>• Mined gold: Primarily from China, with a small quantity from Laos.</w:t>
      </w:r>
    </w:p>
    <w:p w14:paraId="39947E34">
      <w:pPr>
        <w:spacing w:line="520" w:lineRule="exact"/>
      </w:pPr>
      <w:r>
        <w:rPr>
          <w:rFonts w:hint="eastAsia"/>
        </w:rPr>
        <w:t>• By-products: Copper, lead, and zinc by-products (all with content below 2%), sourced from refineries located in China's gold distribution points. The countries of origin for these minerals are Chile, Spain, and China.</w:t>
      </w:r>
    </w:p>
    <w:p w14:paraId="10BA5F6B">
      <w:pPr>
        <w:spacing w:line="520" w:lineRule="exact"/>
      </w:pPr>
      <w:r>
        <w:rPr>
          <w:rFonts w:hint="eastAsia"/>
        </w:rPr>
        <w:t>In 2025, the company's raw materials originated from China, Laos, Spain, and Chile. According to verification, none of these countries are EITI implementing countries. Furthermore, verification confirms that none of the materials received by the company originated from mines or mining companies listed by the World Gold Council (WGC). No anomalies in raw material sources were identified during the 2025 reporting period.</w:t>
      </w:r>
    </w:p>
    <w:p w14:paraId="58EB4D22">
      <w:pPr>
        <w:spacing w:line="520" w:lineRule="exact"/>
      </w:pPr>
      <w:r>
        <w:rPr>
          <w:rFonts w:hint="eastAsia"/>
        </w:rPr>
        <w:t>7.1、强化合作，协助黄金供应交易方建立尽职调查能力</w:t>
      </w:r>
    </w:p>
    <w:p w14:paraId="55FAF335">
      <w:pPr>
        <w:spacing w:line="520" w:lineRule="exact"/>
      </w:pPr>
      <w:r>
        <w:rPr>
          <w:rFonts w:hint="eastAsia"/>
        </w:rPr>
        <w:t>7.1</w:t>
      </w:r>
      <w:r>
        <w:t xml:space="preserve"> Strengthen cooperation and assist gold supply parties to establish due diligence capabilities</w:t>
      </w:r>
    </w:p>
    <w:p w14:paraId="17511AA3">
      <w:pPr>
        <w:spacing w:line="520" w:lineRule="exact"/>
      </w:pPr>
      <w:r>
        <w:rPr>
          <w:rFonts w:hint="eastAsia"/>
        </w:rPr>
        <w:t>公司鼓励与供应商建立基于信任和互认的长期关系，特别是遵守《经济合作与发展组织关于来自受冲突影响和高风险区域的矿石负责任供应链尽职调查指南》并扩展至环境和可持续性责任的供应商。</w:t>
      </w:r>
    </w:p>
    <w:p w14:paraId="1D77A5A6">
      <w:pPr>
        <w:spacing w:line="520" w:lineRule="exact"/>
        <w:ind w:firstLine="315" w:firstLineChars="0"/>
      </w:pPr>
      <w:r>
        <w:t xml:space="preserve">The </w:t>
      </w:r>
      <w:r>
        <w:rPr>
          <w:rFonts w:hint="eastAsia"/>
        </w:rPr>
        <w:t>C</w:t>
      </w:r>
      <w:r>
        <w:t>ompany encourage</w:t>
      </w:r>
      <w:r>
        <w:rPr>
          <w:rFonts w:hint="eastAsia"/>
        </w:rPr>
        <w:t>d</w:t>
      </w:r>
      <w:r>
        <w:t xml:space="preserve"> </w:t>
      </w:r>
      <w:r>
        <w:rPr>
          <w:rFonts w:hint="eastAsia"/>
        </w:rPr>
        <w:t xml:space="preserve">to build </w:t>
      </w:r>
      <w:r>
        <w:t xml:space="preserve">long-term relationships based on trust and mutual recognition with suppliers, particularly those that comply with the </w:t>
      </w:r>
      <w:r>
        <w:rPr>
          <w:i/>
        </w:rPr>
        <w:t>OECD Due Diligence Guidance for Responsible Supply Chains of Minerals from Conflict-Affected and High-Risk Areas</w:t>
      </w:r>
      <w:r>
        <w:t xml:space="preserve"> and extend to environmental and sustainability responsibilities.</w:t>
      </w:r>
    </w:p>
    <w:p w14:paraId="121AA142">
      <w:pPr>
        <w:spacing w:line="520" w:lineRule="exact"/>
        <w:rPr>
          <w:rFonts w:hint="eastAsia"/>
        </w:rPr>
      </w:pPr>
      <w:r>
        <w:rPr>
          <w:rFonts w:hint="eastAsia"/>
        </w:rPr>
        <w:t>我公司将《云南滇金投资有限公司黄金供应链管理政策》传达给供应商并与供应商签署《供应商社会责任承诺书》，承诺遵守我司的政策并确保黄金来源合法合规，拒绝来自LBMA规定的零容忍风险、高风险及任何涉及强迫劳动风险的供应商。矿山类型的供应商需提供采矿许可证，冶炼类型</w:t>
      </w:r>
      <w:r>
        <w:t>供应商</w:t>
      </w:r>
      <w:r>
        <w:rPr>
          <w:rFonts w:hint="eastAsia"/>
        </w:rPr>
        <w:t>需提</w:t>
      </w:r>
      <w:r>
        <w:t>供</w:t>
      </w:r>
      <w:r>
        <w:rPr>
          <w:rFonts w:hint="eastAsia"/>
        </w:rPr>
        <w:t>原</w:t>
      </w:r>
      <w:r>
        <w:t>产地证或报关单</w:t>
      </w:r>
      <w:r>
        <w:rPr>
          <w:rFonts w:hint="eastAsia"/>
        </w:rPr>
        <w:t>。所</w:t>
      </w:r>
      <w:r>
        <w:t>有</w:t>
      </w:r>
      <w:r>
        <w:rPr>
          <w:rFonts w:hint="eastAsia"/>
        </w:rPr>
        <w:t>供</w:t>
      </w:r>
      <w:r>
        <w:t>应商销售给我公司的黄金均要提供</w:t>
      </w:r>
      <w:r>
        <w:rPr>
          <w:rFonts w:hint="eastAsia"/>
        </w:rPr>
        <w:t>合规</w:t>
      </w:r>
      <w:r>
        <w:t>的发票</w:t>
      </w:r>
      <w:r>
        <w:rPr>
          <w:rFonts w:hint="eastAsia"/>
        </w:rPr>
        <w:t>，</w:t>
      </w:r>
      <w:r>
        <w:t>通此</w:t>
      </w:r>
      <w:r>
        <w:rPr>
          <w:rFonts w:hint="eastAsia"/>
        </w:rPr>
        <w:t>标准，对</w:t>
      </w:r>
      <w:r>
        <w:t>供应商</w:t>
      </w:r>
      <w:r>
        <w:rPr>
          <w:rFonts w:hint="eastAsia"/>
        </w:rPr>
        <w:t>进行</w:t>
      </w:r>
      <w:r>
        <w:t>了筛选，</w:t>
      </w:r>
      <w:r>
        <w:rPr>
          <w:rFonts w:hint="eastAsia"/>
        </w:rPr>
        <w:t>甄选</w:t>
      </w:r>
      <w:r>
        <w:t>出低风险供应商，</w:t>
      </w:r>
      <w:r>
        <w:rPr>
          <w:rFonts w:hint="eastAsia"/>
        </w:rPr>
        <w:t>并规避风险。公司将政策、</w:t>
      </w:r>
      <w:r>
        <w:t>LBMA黄金指南、黄金尽职调查的采购要求</w:t>
      </w:r>
      <w:r>
        <w:rPr>
          <w:rFonts w:hint="eastAsia"/>
        </w:rPr>
        <w:t>传达</w:t>
      </w:r>
      <w:r>
        <w:t>了黄金交易方，所有的传达记录均已保留</w:t>
      </w:r>
      <w:r>
        <w:rPr>
          <w:rFonts w:hint="eastAsia"/>
        </w:rPr>
        <w:t>。向黄金交易方传达的尽职调查的要求包括但不限于，KYC 信息的披露，监管链信息的披露，提供的黄金材料的合法合规性。</w:t>
      </w:r>
    </w:p>
    <w:p w14:paraId="22A90D30">
      <w:pPr>
        <w:spacing w:line="520" w:lineRule="exact"/>
        <w:rPr>
          <w:rFonts w:hint="eastAsia"/>
        </w:rPr>
      </w:pPr>
      <w:r>
        <w:t xml:space="preserve">Our company </w:t>
      </w:r>
      <w:r>
        <w:rPr>
          <w:rFonts w:hint="eastAsia"/>
        </w:rPr>
        <w:t>have</w:t>
      </w:r>
      <w:r>
        <w:t xml:space="preserve"> communicate</w:t>
      </w:r>
      <w:r>
        <w:rPr>
          <w:rFonts w:hint="eastAsia"/>
        </w:rPr>
        <w:t>d</w:t>
      </w:r>
      <w:r>
        <w:t xml:space="preserve"> the "Yunnan Dianjin Investment Co., Ltd. Gold Supply Chain Management Policy" to the supplier and sign a "Supplier Social Responsibility Commitment Letter" with the supplier, promising that the gold source is legal and compliant, and rejecting suppliers from LBMA regulations with zero tolerance risk, high risk, and any involvement in forced labor risk</w:t>
      </w:r>
      <w:r>
        <w:rPr>
          <w:rFonts w:hint="eastAsia"/>
        </w:rPr>
        <w:t>.</w:t>
      </w:r>
      <w:r>
        <w:t xml:space="preserve"> Suppliers of all mine types shall provide mining licenses, all smelting type supplier shall provide certificate or origin or Custom Declaration Form. All suppliers must provide compliant invoices, and base on this standard, screen suppliers and get low risk suppliers to avoid tax risks. The company has shared the policy, LBMA Gold Guide, the purchase requirements of gold due diligence, and its own due diligence purchase practice and experience with gold suppliers, and all communication records have been retained.</w:t>
      </w:r>
      <w:r>
        <w:rPr>
          <w:rFonts w:hint="eastAsia"/>
        </w:rPr>
        <w:t xml:space="preserve"> </w:t>
      </w:r>
      <w:r>
        <w:t xml:space="preserve">The due diligence requirements communicated to gold </w:t>
      </w:r>
      <w:r>
        <w:rPr>
          <w:rFonts w:hint="eastAsia"/>
        </w:rPr>
        <w:t>supplier</w:t>
      </w:r>
      <w:r>
        <w:t>s includes Know-Your-Customer (KYC) information, chain-of-custody disclosure and verification, and confirmation of the legitimacy and regulatory compliance of the supplied gold materials.</w:t>
      </w:r>
    </w:p>
    <w:p w14:paraId="4A6BA45B">
      <w:pPr>
        <w:spacing w:line="520" w:lineRule="exact"/>
      </w:pPr>
      <w:r>
        <w:rPr>
          <w:rFonts w:hint="eastAsia"/>
        </w:rPr>
        <w:t>8.1、</w:t>
      </w:r>
      <w:r>
        <w:t>编制供应链反洗钱和反恐怖主义融资政策</w:t>
      </w:r>
    </w:p>
    <w:p w14:paraId="1E8D208F">
      <w:pPr>
        <w:spacing w:line="520" w:lineRule="exact"/>
      </w:pPr>
      <w:r>
        <w:rPr>
          <w:rFonts w:hint="eastAsia"/>
        </w:rPr>
        <w:t>8.1、</w:t>
      </w:r>
      <w:r>
        <w:t>Development of supply chain anti-money laundering and counter-terrorist financing policies</w:t>
      </w:r>
    </w:p>
    <w:p w14:paraId="2726DE33">
      <w:pPr>
        <w:spacing w:line="520" w:lineRule="exact"/>
      </w:pPr>
      <w:r>
        <w:t>根据</w:t>
      </w:r>
      <w:r>
        <w:rPr>
          <w:rFonts w:hint="eastAsia"/>
        </w:rPr>
        <w:t>LBMA指南中反洗钱和反恐怖主义融资政策要求，编制了《云南滇金投资有限公司供应链反洗钱和反恐怖主义融资政策》。我公司在日常经营中严格遵守反洗钱和反恐怖主义融资政策中的</w:t>
      </w:r>
      <w:r>
        <w:rPr>
          <w:rStyle w:val="19"/>
          <w:rFonts w:hint="eastAsia" w:ascii="仿宋" w:hAnsi="仿宋" w:eastAsia="仿宋" w:cs="仿宋"/>
          <w:sz w:val="28"/>
          <w:szCs w:val="28"/>
        </w:rPr>
        <w:t>要求</w:t>
      </w:r>
      <w:r>
        <w:rPr>
          <w:rFonts w:hint="eastAsia"/>
        </w:rPr>
        <w:t>。我公司与供应商开展黄金业务时，明确要求对方遵守我公司的供应链政策及反洗钱政策，并要求供应商签订承诺书。</w:t>
      </w:r>
    </w:p>
    <w:p w14:paraId="1927129C">
      <w:pPr>
        <w:spacing w:line="520" w:lineRule="exact"/>
      </w:pPr>
      <w:r>
        <w:rPr>
          <w:rFonts w:hint="eastAsia"/>
        </w:rPr>
        <w:t>In accordance with the anti-money laundering and counter-terrorist financing policy requirements outlined in the LBMA Guidance, the Company has formulated the "Supply Chain Anti-Money Laundering and Counter-Terrorist Financing Policy of Yunnan dianjin Investment Co., Ltd." In daily operations, the Company strictly adheres to the stipulations of this policy. When engaging in gold business with suppliers, the Company explicitly requires them to comply with its supply chain policy and anti-money laundering policy, and mandates that suppliers sign a commitment letter to this effect.</w:t>
      </w:r>
    </w:p>
    <w:p w14:paraId="0B01BA79">
      <w:pPr>
        <w:spacing w:line="520" w:lineRule="exact"/>
      </w:pPr>
      <w:r>
        <w:rPr>
          <w:rFonts w:hint="eastAsia"/>
        </w:rPr>
        <w:t>9.1建立机密申诉机制</w:t>
      </w:r>
    </w:p>
    <w:p w14:paraId="5C5B7897">
      <w:pPr>
        <w:spacing w:line="520" w:lineRule="exact"/>
        <w:rPr>
          <w:rFonts w:eastAsia="仿宋"/>
        </w:rPr>
      </w:pPr>
      <w:r>
        <w:rPr>
          <w:rFonts w:hint="eastAsia"/>
        </w:rPr>
        <w:t xml:space="preserve">9.1 </w:t>
      </w:r>
      <w:r>
        <w:t>Establish a confidential appeal mechanism</w:t>
      </w:r>
    </w:p>
    <w:p w14:paraId="3C2E2162">
      <w:pPr>
        <w:spacing w:line="520" w:lineRule="exact"/>
      </w:pPr>
      <w:r>
        <w:rPr>
          <w:rFonts w:hint="eastAsia"/>
        </w:rPr>
        <w:t>公司建立了黄金供应链申诉通讯机制，利用云金集团官网网址</w:t>
      </w:r>
      <w:r>
        <w:t xml:space="preserve">, </w:t>
      </w:r>
      <w:r>
        <w:rPr>
          <w:rFonts w:hint="eastAsia"/>
        </w:rPr>
        <w:t>邮箱、专线电话公布黄金负责任采购的申诉渠道，申诉的电话和邮箱已经加入到政策中并公布在公司的网站上，并明确了申诉流程与反馈方式。我公司允许员工和外部利益相关者表达对供应链或任何新的已识别风险的担忧，对举报人信息保密，在整个申诉过程中保护了申诉</w:t>
      </w:r>
      <w:r>
        <w:t>人的</w:t>
      </w:r>
      <w:r>
        <w:rPr>
          <w:rFonts w:hint="eastAsia"/>
        </w:rPr>
        <w:t>隐私，杜绝任何行为的打击报复</w:t>
      </w:r>
      <w:r>
        <w:rPr>
          <w:rStyle w:val="19"/>
          <w:rFonts w:hint="eastAsia"/>
        </w:rPr>
        <w:t>。</w:t>
      </w:r>
      <w:r>
        <w:rPr>
          <w:rFonts w:hint="eastAsia"/>
        </w:rPr>
        <w:t>如有人员进行申诉，我公司指派专员进行沟通,并开展相关情况调查，并将处理过程、处理结果形成记录进行留存并进行反馈。</w:t>
      </w:r>
    </w:p>
    <w:p w14:paraId="50C36EFD">
      <w:pPr>
        <w:spacing w:line="520" w:lineRule="exact"/>
      </w:pPr>
      <w:r>
        <w:rPr>
          <w:rFonts w:hint="eastAsia"/>
        </w:rPr>
        <w:t>The company has established a gold supply chain grievance communication mechanism, utilizing the Yunnan Gold Group official website, dedicated email, and hotline to publicize channels for raising grievances related to responsible gold sourcing. The contact details for grievances have been incorporated into the policy and published on the company's website, along with clearly defined grievance procedures and feedback mechanisms. The company enables both employees and external stakeholders to voice concerns regarding the supply chain or any newly identified risks. The confidentiality of whistleblowers' information is guaranteed, with protection of complainants' privacy maintained throughout the grievance process, and any form of retaliation is strictly prohibited. Upon receipt of a grievance, the company assigns a designated specialist to conduct communication, carry out relevant investigations, document the handling process and outcomes, and provide feedback accordingly.</w:t>
      </w:r>
    </w:p>
    <w:p w14:paraId="7485B733">
      <w:pPr>
        <w:spacing w:line="520" w:lineRule="exact"/>
      </w:pPr>
      <w:r>
        <w:rPr>
          <w:rFonts w:hint="eastAsia"/>
        </w:rPr>
        <w:t>2025年度，通过上述申诉渠道收到的有效申诉数量为0起。我公司已建立完整的申诉处理流程，确保任何申诉都能被记录、调查、反馈和归档。</w:t>
      </w:r>
    </w:p>
    <w:p w14:paraId="48D210D2">
      <w:pPr>
        <w:spacing w:line="520" w:lineRule="exact"/>
      </w:pPr>
      <w:r>
        <w:rPr>
          <w:rFonts w:hint="eastAsia"/>
        </w:rPr>
        <w:t>In 2025, the number of valid complaints received through the aforementioned appeal channels was zero. Our company has established a complete complaint handling process to ensure that all complaints are recorded, investigated, responded to, and archived.</w:t>
      </w:r>
    </w:p>
    <w:p w14:paraId="3DDC1457">
      <w:pPr>
        <w:spacing w:line="520" w:lineRule="exact"/>
        <w:ind w:firstLine="422"/>
        <w:rPr>
          <w:b/>
          <w:bCs/>
        </w:rPr>
      </w:pPr>
      <w:r>
        <w:rPr>
          <w:rFonts w:hint="eastAsia"/>
          <w:b/>
          <w:bCs/>
        </w:rPr>
        <w:t>第二步 识别及评估供应链</w:t>
      </w:r>
      <w:r>
        <w:rPr>
          <w:b/>
          <w:bCs/>
        </w:rPr>
        <w:t>风险</w:t>
      </w:r>
      <w:r>
        <w:rPr>
          <w:rFonts w:hint="eastAsia"/>
          <w:b/>
          <w:bCs/>
        </w:rPr>
        <w:t xml:space="preserve"> </w:t>
      </w:r>
    </w:p>
    <w:p w14:paraId="3F053575">
      <w:pPr>
        <w:spacing w:line="520" w:lineRule="exact"/>
        <w:ind w:firstLine="422"/>
        <w:rPr>
          <w:b/>
          <w:bCs/>
        </w:rPr>
      </w:pPr>
      <w:r>
        <w:rPr>
          <w:rFonts w:hint="eastAsia"/>
          <w:b/>
          <w:bCs/>
        </w:rPr>
        <w:t>S</w:t>
      </w:r>
      <w:r>
        <w:rPr>
          <w:b/>
          <w:bCs/>
        </w:rPr>
        <w:t xml:space="preserve">tep </w:t>
      </w:r>
      <w:r>
        <w:rPr>
          <w:rFonts w:hint="eastAsia"/>
          <w:b/>
          <w:bCs/>
        </w:rPr>
        <w:t xml:space="preserve">2 </w:t>
      </w:r>
      <w:r>
        <w:rPr>
          <w:b/>
          <w:bCs/>
        </w:rPr>
        <w:t>Identify and assess risk in the supply chain</w:t>
      </w:r>
    </w:p>
    <w:p w14:paraId="45E099E7">
      <w:pPr>
        <w:spacing w:line="520" w:lineRule="exact"/>
      </w:pPr>
      <w:r>
        <w:rPr>
          <w:rFonts w:hint="eastAsia"/>
        </w:rPr>
        <w:t>合规声明与要求：</w:t>
      </w:r>
    </w:p>
    <w:p w14:paraId="547D08EF">
      <w:pPr>
        <w:spacing w:line="520" w:lineRule="exact"/>
      </w:pPr>
      <w:r>
        <w:t>Compliance Statement with Requirement:</w:t>
      </w:r>
    </w:p>
    <w:p w14:paraId="5BCCA6BE">
      <w:pPr>
        <w:spacing w:line="520" w:lineRule="exact"/>
      </w:pPr>
      <w:r>
        <w:rPr>
          <w:rFonts w:hint="eastAsia"/>
        </w:rPr>
        <w:t>我公司已经充分遵守第2步骤：对供应链中的风险进行识别和评估。</w:t>
      </w:r>
    </w:p>
    <w:p w14:paraId="5525B2C5">
      <w:pPr>
        <w:spacing w:line="520" w:lineRule="exact"/>
      </w:pPr>
      <w:r>
        <w:t>We have fully complied with Step 2: Identify and assess risk in the supply chain.</w:t>
      </w:r>
    </w:p>
    <w:p w14:paraId="2248110D">
      <w:pPr>
        <w:spacing w:line="520" w:lineRule="exact"/>
      </w:pPr>
      <w:r>
        <w:rPr>
          <w:rFonts w:hint="eastAsia"/>
        </w:rPr>
        <w:t>公司严格遵守LBMA负</w:t>
      </w:r>
      <w:r>
        <w:t>责任</w:t>
      </w:r>
      <w:r>
        <w:rPr>
          <w:rFonts w:hint="eastAsia"/>
        </w:rPr>
        <w:t>黄金指南第二步“识别及评估供应链风险”的要求，明确</w:t>
      </w:r>
      <w:r>
        <w:t>了</w:t>
      </w:r>
      <w:r>
        <w:rPr>
          <w:rFonts w:hint="eastAsia"/>
        </w:rPr>
        <w:t>需要识别出黄金供应链中的零容忍风险和高风险。</w:t>
      </w:r>
    </w:p>
    <w:p w14:paraId="41C2DF43">
      <w:pPr>
        <w:spacing w:line="520" w:lineRule="exact"/>
        <w:ind w:firstLine="0" w:firstLineChars="0"/>
      </w:pPr>
      <w:r>
        <w:t xml:space="preserve">The </w:t>
      </w:r>
      <w:r>
        <w:rPr>
          <w:rFonts w:hint="eastAsia"/>
        </w:rPr>
        <w:t>C</w:t>
      </w:r>
      <w:r>
        <w:t xml:space="preserve">ompany strictly followed the requirements of Step </w:t>
      </w:r>
      <w:r>
        <w:rPr>
          <w:rFonts w:hint="eastAsia"/>
        </w:rPr>
        <w:t>2</w:t>
      </w:r>
      <w:r>
        <w:t xml:space="preserve"> of the LBMA Responsible Gold Guidance, “</w:t>
      </w:r>
      <w:r>
        <w:rPr>
          <w:rFonts w:hint="eastAsia"/>
        </w:rPr>
        <w:t>i</w:t>
      </w:r>
      <w:r>
        <w:t xml:space="preserve">dentify and assess risk in the supply chain”. The </w:t>
      </w:r>
      <w:r>
        <w:rPr>
          <w:rFonts w:hint="eastAsia"/>
        </w:rPr>
        <w:t>Co</w:t>
      </w:r>
      <w:r>
        <w:t>mpany formulate</w:t>
      </w:r>
      <w:r>
        <w:rPr>
          <w:rFonts w:hint="eastAsia"/>
        </w:rPr>
        <w:t>d</w:t>
      </w:r>
      <w:r>
        <w:t xml:space="preserve"> the judgment</w:t>
      </w:r>
      <w:r>
        <w:rPr>
          <w:rFonts w:hint="eastAsia"/>
        </w:rPr>
        <w:t xml:space="preserve"> criteria</w:t>
      </w:r>
      <w:r>
        <w:t xml:space="preserve"> of high-risk supply chain</w:t>
      </w:r>
      <w:r>
        <w:rPr>
          <w:rFonts w:hint="eastAsia"/>
        </w:rPr>
        <w:t xml:space="preserve"> and </w:t>
      </w:r>
      <w:r>
        <w:t>stipulate</w:t>
      </w:r>
      <w:r>
        <w:rPr>
          <w:rFonts w:hint="eastAsia"/>
        </w:rPr>
        <w:t xml:space="preserve">d </w:t>
      </w:r>
      <w:r>
        <w:t>the treatment procedures for the identified risks</w:t>
      </w:r>
      <w:r>
        <w:rPr>
          <w:rFonts w:hint="eastAsia"/>
        </w:rPr>
        <w:t xml:space="preserve"> </w:t>
      </w:r>
      <w:r>
        <w:t xml:space="preserve">and </w:t>
      </w:r>
      <w:r>
        <w:rPr>
          <w:rFonts w:hint="eastAsia"/>
        </w:rPr>
        <w:t xml:space="preserve">completed the </w:t>
      </w:r>
      <w:r>
        <w:t>full</w:t>
      </w:r>
      <w:r>
        <w:rPr>
          <w:rFonts w:hint="eastAsia"/>
        </w:rPr>
        <w:t xml:space="preserve"> </w:t>
      </w:r>
      <w:r>
        <w:t>identif</w:t>
      </w:r>
      <w:r>
        <w:rPr>
          <w:rFonts w:hint="eastAsia"/>
        </w:rPr>
        <w:t xml:space="preserve">ication </w:t>
      </w:r>
      <w:r>
        <w:t>and evaluat</w:t>
      </w:r>
      <w:r>
        <w:rPr>
          <w:rFonts w:hint="eastAsia"/>
        </w:rPr>
        <w:t>ion of</w:t>
      </w:r>
      <w:r>
        <w:t xml:space="preserve"> the risks in the supply chain. </w:t>
      </w:r>
    </w:p>
    <w:p w14:paraId="6BFBE860">
      <w:pPr>
        <w:spacing w:line="520" w:lineRule="exact"/>
      </w:pPr>
      <w:r>
        <w:rPr>
          <w:rFonts w:hint="eastAsia"/>
        </w:rPr>
        <w:t>1.评估供应链风险</w:t>
      </w:r>
    </w:p>
    <w:p w14:paraId="3A0E9F50">
      <w:pPr>
        <w:spacing w:line="520" w:lineRule="exact"/>
      </w:pPr>
      <w:r>
        <w:rPr>
          <w:rFonts w:hint="eastAsia"/>
        </w:rPr>
        <w:t>1</w:t>
      </w:r>
      <w:r>
        <w:t>. Assess risk in the supply chain</w:t>
      </w:r>
    </w:p>
    <w:p w14:paraId="5E02A43D">
      <w:pPr>
        <w:spacing w:line="520" w:lineRule="exact"/>
      </w:pPr>
      <w:r>
        <w:rPr>
          <w:rFonts w:hint="eastAsia"/>
        </w:rPr>
        <w:t>1</w:t>
      </w:r>
      <w:r>
        <w:t>.1受冲突影响和高风险区域（CAHRAs）的识别流程</w:t>
      </w:r>
    </w:p>
    <w:p w14:paraId="2663B2BF">
      <w:pPr>
        <w:spacing w:line="520" w:lineRule="exact"/>
      </w:pPr>
      <w:r>
        <w:rPr>
          <w:rFonts w:hint="eastAsia"/>
        </w:rPr>
        <w:t>1</w:t>
      </w:r>
      <w:r>
        <w:t>.1 Identification process of conflict-affected and high-risk areas (CAHRAs)</w:t>
      </w:r>
    </w:p>
    <w:p w14:paraId="59CD0328">
      <w:pPr>
        <w:spacing w:line="520" w:lineRule="exact"/>
      </w:pPr>
      <w:r>
        <w:rPr>
          <w:rFonts w:hint="eastAsia"/>
        </w:rPr>
        <w:t>为了识别公司黄金供应链中的风险，公司使用以下资源定义了受冲突影响和高风险区域的识别流程：</w:t>
      </w:r>
    </w:p>
    <w:p w14:paraId="28FEF118">
      <w:pPr>
        <w:spacing w:line="520" w:lineRule="exact"/>
        <w:ind w:firstLine="0" w:firstLineChars="0"/>
      </w:pPr>
      <w:r>
        <w:t>To identify risks in gold supply chain, the Company uses the following resources to define the identification process of conflict-affected and high-risk areas:</w:t>
      </w:r>
    </w:p>
    <w:p w14:paraId="2B30E8F8">
      <w:pPr>
        <w:pStyle w:val="20"/>
        <w:numPr>
          <w:ilvl w:val="0"/>
          <w:numId w:val="3"/>
        </w:numPr>
        <w:spacing w:line="520" w:lineRule="exact"/>
        <w:ind w:firstLineChars="0"/>
        <w:rPr>
          <w:rFonts w:ascii="Times New Roman" w:hAnsi="Times New Roman" w:eastAsia="仿宋"/>
          <w:sz w:val="28"/>
          <w:szCs w:val="28"/>
        </w:rPr>
      </w:pPr>
      <w:r>
        <w:rPr>
          <w:rFonts w:hint="eastAsia"/>
        </w:rPr>
        <w:t xml:space="preserve">制裁名单(美国、英国、欧盟、联合国及相关制裁名单) </w:t>
      </w:r>
      <w:r>
        <w:t>Sanction list (US, UK, EU, UN and related sanction lists)</w:t>
      </w:r>
    </w:p>
    <w:p w14:paraId="36C04ED4">
      <w:pPr>
        <w:pStyle w:val="20"/>
        <w:numPr>
          <w:ilvl w:val="0"/>
          <w:numId w:val="3"/>
        </w:numPr>
        <w:spacing w:line="520" w:lineRule="exact"/>
        <w:ind w:firstLineChars="0"/>
        <w:rPr>
          <w:rFonts w:ascii="Times New Roman" w:hAnsi="Times New Roman" w:eastAsia="仿宋"/>
          <w:sz w:val="28"/>
          <w:szCs w:val="28"/>
        </w:rPr>
      </w:pPr>
      <w:r>
        <w:rPr>
          <w:rFonts w:hint="eastAsia"/>
        </w:rPr>
        <w:t>多德-弗兰克法案第 1502 条</w:t>
      </w:r>
      <w:r>
        <w:t>Section 1502 of the Dodd Frank Act</w:t>
      </w:r>
    </w:p>
    <w:p w14:paraId="14D0A547">
      <w:pPr>
        <w:pStyle w:val="20"/>
        <w:numPr>
          <w:ilvl w:val="0"/>
          <w:numId w:val="3"/>
        </w:numPr>
        <w:spacing w:line="520" w:lineRule="exact"/>
        <w:ind w:firstLineChars="0"/>
        <w:rPr>
          <w:rFonts w:ascii="Times New Roman" w:hAnsi="Times New Roman" w:eastAsia="仿宋"/>
          <w:sz w:val="28"/>
          <w:szCs w:val="28"/>
        </w:rPr>
      </w:pPr>
      <w:r>
        <w:rPr>
          <w:rFonts w:hint="eastAsia"/>
        </w:rPr>
        <w:t>欧盟 CAHRA 名单</w:t>
      </w:r>
      <w:r>
        <w:t>EU CAHRA List</w:t>
      </w:r>
    </w:p>
    <w:p w14:paraId="67248CD5">
      <w:pPr>
        <w:pStyle w:val="20"/>
        <w:numPr>
          <w:ilvl w:val="0"/>
          <w:numId w:val="3"/>
        </w:numPr>
        <w:spacing w:line="520" w:lineRule="exact"/>
        <w:ind w:firstLineChars="0"/>
        <w:rPr>
          <w:rFonts w:ascii="Times New Roman" w:hAnsi="Times New Roman" w:eastAsia="仿宋"/>
          <w:sz w:val="28"/>
          <w:szCs w:val="28"/>
        </w:rPr>
      </w:pPr>
      <w:r>
        <w:rPr>
          <w:rFonts w:hint="eastAsia"/>
        </w:rPr>
        <w:t>海德堡晴雨表</w:t>
      </w:r>
      <w:r>
        <w:t>Heidelberg Barometer</w:t>
      </w:r>
      <w:r>
        <w:rPr>
          <w:rFonts w:hint="eastAsia"/>
        </w:rPr>
        <w:t>脆弱国家指数或类似的指数</w:t>
      </w:r>
      <w:r>
        <w:t>Fragile Country Index or similar index</w:t>
      </w:r>
    </w:p>
    <w:p w14:paraId="340553D4">
      <w:pPr>
        <w:pStyle w:val="20"/>
        <w:numPr>
          <w:ilvl w:val="0"/>
          <w:numId w:val="3"/>
        </w:numPr>
        <w:spacing w:line="520" w:lineRule="exact"/>
        <w:ind w:firstLineChars="0"/>
        <w:rPr>
          <w:rFonts w:ascii="Times New Roman" w:hAnsi="Times New Roman" w:eastAsia="仿宋"/>
          <w:sz w:val="28"/>
          <w:szCs w:val="28"/>
        </w:rPr>
      </w:pPr>
      <w:r>
        <w:rPr>
          <w:rFonts w:hint="eastAsia"/>
        </w:rPr>
        <w:t>联合国人权事务高级专员办事处或同等机构 O</w:t>
      </w:r>
      <w:r>
        <w:t>ffice of the United Nations High Commissioner for Human Rights or equivalent agency</w:t>
      </w:r>
    </w:p>
    <w:p w14:paraId="142BFF2A">
      <w:pPr>
        <w:pStyle w:val="20"/>
        <w:numPr>
          <w:ilvl w:val="0"/>
          <w:numId w:val="3"/>
        </w:numPr>
        <w:spacing w:line="520" w:lineRule="exact"/>
        <w:ind w:firstLineChars="0"/>
        <w:rPr>
          <w:rFonts w:ascii="Times New Roman" w:hAnsi="Times New Roman" w:eastAsia="仿宋"/>
          <w:sz w:val="28"/>
          <w:szCs w:val="28"/>
        </w:rPr>
      </w:pPr>
      <w:r>
        <w:rPr>
          <w:rFonts w:hint="eastAsia"/>
        </w:rPr>
        <w:t>金融行动特别工作组 (FATF) 的报告(包括相关国家/地区报告)</w:t>
      </w:r>
      <w:r>
        <w:t xml:space="preserve"> Report of the Financial Action Task Force (FATF) (including relevant country/region reports) </w:t>
      </w:r>
      <w:r>
        <w:rPr>
          <w:rFonts w:hint="eastAsia"/>
        </w:rPr>
        <w:t>关于高风险黄金中心/转运中心和高洗钱风险国家/地区的可靠市场情报</w:t>
      </w:r>
      <w:r>
        <w:t>Reliable market intelligence on high-risk gold centers/transfer centers and countries/regions with high money laundering risk</w:t>
      </w:r>
    </w:p>
    <w:p w14:paraId="3892CC7D">
      <w:pPr>
        <w:spacing w:line="520" w:lineRule="exact"/>
        <w:ind w:left="420" w:firstLine="0" w:firstLineChars="0"/>
      </w:pPr>
      <w:r>
        <w:rPr>
          <w:rFonts w:hint="eastAsia"/>
        </w:rPr>
        <w:t>该流程至少一年更新一次或当供应链发生变化时，需要更新。</w:t>
      </w:r>
    </w:p>
    <w:p w14:paraId="3E4D02AA">
      <w:pPr>
        <w:spacing w:line="520" w:lineRule="exact"/>
        <w:ind w:firstLineChars="0"/>
        <w:rPr>
          <w:rFonts w:hint="eastAsia"/>
        </w:rPr>
      </w:pPr>
      <w:r>
        <w:t>The process shall be updated at least once a year, or shall be updated when the referenced resources change.</w:t>
      </w:r>
    </w:p>
    <w:p w14:paraId="3D5E867B">
      <w:pPr>
        <w:spacing w:line="520" w:lineRule="exact"/>
        <w:ind w:firstLine="0" w:firstLineChars="0"/>
        <w:rPr>
          <w:rFonts w:hint="eastAsia"/>
        </w:rPr>
      </w:pPr>
    </w:p>
    <w:p w14:paraId="5773FE35">
      <w:pPr>
        <w:spacing w:line="520" w:lineRule="exact"/>
      </w:pPr>
      <w:r>
        <w:rPr>
          <w:rFonts w:hint="eastAsia"/>
        </w:rPr>
        <w:t>2.1 风险评估与持续监控的团队与执行支撑</w:t>
      </w:r>
    </w:p>
    <w:p w14:paraId="17EC24F4">
      <w:pPr>
        <w:spacing w:line="520" w:lineRule="exact"/>
      </w:pPr>
      <w:r>
        <w:rPr>
          <w:rFonts w:hint="eastAsia"/>
        </w:rPr>
        <w:t>2.1 Team and Execution Support for Risk Assessment and Continuous Monitoring</w:t>
      </w:r>
    </w:p>
    <w:p w14:paraId="5952551E">
      <w:pPr>
        <w:spacing w:line="520" w:lineRule="exact"/>
      </w:pPr>
      <w:r>
        <w:rPr>
          <w:rFonts w:hint="eastAsia"/>
        </w:rPr>
        <w:t>风险识别工作由一支专职、专业的合规与风险管理团队牵头负责，并得到业务与生产部门的协同支持。资源、技能与经验：该核心团队由具备反洗钱、制裁合规、供应链尽职调查工作经验的专业人员构成。成员平均拥有超过5年的行业风控经验，并定期接受LBMA、中国黄金协会等机构的最新准则培训。系统与沟通决策：团队利用专门的风险数据分析平台，对客户、交易、供应链等数据源进行聚合与筛查。识别出的风险评估结果（包括风险等级、类型、关联方及初步建议）会通过以下路径沟通以支持决策：</w:t>
      </w:r>
    </w:p>
    <w:p w14:paraId="46984DBE">
      <w:pPr>
        <w:spacing w:line="520" w:lineRule="exact"/>
        <w:ind w:firstLine="0" w:firstLineChars="0"/>
      </w:pPr>
      <w:r>
        <w:rPr>
          <w:rFonts w:hint="eastAsia"/>
        </w:rPr>
        <w:t>针对高风险警报或重大异常，实时通过内部预警系统推送至相关业务负责人与首席合规官，并启动专项评估流程。评估结论与管控措施将录入客户风险档案与案例库，为业务人员提供实时查询与操作指引，确保风险判断标准在前线得到一致应用。</w:t>
      </w:r>
    </w:p>
    <w:p w14:paraId="5BEB56CD">
      <w:pPr>
        <w:spacing w:line="520" w:lineRule="exact"/>
      </w:pPr>
      <w:r>
        <w:rPr>
          <w:rFonts w:hint="eastAsia"/>
        </w:rPr>
        <w:t xml:space="preserve">Risk identification is led by a dedicated and professional compliance and risk management team, with collaborative support from business and production departments.  </w:t>
      </w:r>
    </w:p>
    <w:p w14:paraId="6E6DDC13">
      <w:pPr>
        <w:spacing w:line="520" w:lineRule="exact"/>
        <w:ind w:firstLine="0" w:firstLineChars="0"/>
      </w:pPr>
      <w:r>
        <w:rPr>
          <w:rFonts w:hint="eastAsia"/>
        </w:rPr>
        <w:t xml:space="preserve">Resources, Skills, and Experience: The core team comprises professionals with expertise in anti-money laundering, sanctions compliance, and supply chain due diligence. Team members possess an average of over five years of industry risk control experience and undergo regular training on the latest standards from institutions such as the LBMA and the China Gold Association.  </w:t>
      </w:r>
    </w:p>
    <w:p w14:paraId="07A0AA6F">
      <w:pPr>
        <w:spacing w:line="520" w:lineRule="exact"/>
        <w:ind w:firstLine="0" w:firstLineChars="0"/>
      </w:pPr>
      <w:r>
        <w:rPr>
          <w:rFonts w:hint="eastAsia"/>
        </w:rPr>
        <w:t xml:space="preserve">Systems and Communication for Decision-Making: The team utilizes a specialized risk data analysis platform to aggregate and screen data from customers, transactions, supply chains, and other sources. Identified risk assessment results (including risk levels, types, relevant parties, and preliminary recommendations) are communicated through the following pathways to support decision-making:  </w:t>
      </w:r>
    </w:p>
    <w:p w14:paraId="39B71C99">
      <w:pPr>
        <w:spacing w:line="520" w:lineRule="exact"/>
      </w:pPr>
      <w:r>
        <w:rPr>
          <w:rFonts w:hint="eastAsia"/>
        </w:rPr>
        <w:t>For high-risk alerts or significant anomalies, real-time notifications are sent via an internal early-warning system to relevant business leaders and the Chief Compliance Officer, triggering a specialized evaluation process. Assessment conclusions and control measures are documented in customer risk profiles and a case library, providing frontline business personnel with real-time querying capabilities and operational guidance to ensure consistent application of risk judgment standards.</w:t>
      </w:r>
    </w:p>
    <w:p w14:paraId="40D0DCDE">
      <w:pPr>
        <w:spacing w:line="520" w:lineRule="exact"/>
      </w:pPr>
      <w:r>
        <w:rPr>
          <w:rFonts w:hint="eastAsia"/>
        </w:rPr>
        <w:t>3.1. 风险评估的复核与批准流程</w:t>
      </w:r>
    </w:p>
    <w:p w14:paraId="27B60ED6">
      <w:pPr>
        <w:spacing w:line="520" w:lineRule="exact"/>
      </w:pPr>
      <w:r>
        <w:rPr>
          <w:rFonts w:hint="eastAsia"/>
        </w:rPr>
        <w:t>3.1 Review and Approval Process for Risk Assessment</w:t>
      </w:r>
    </w:p>
    <w:p w14:paraId="0E63E796">
      <w:pPr>
        <w:spacing w:line="520" w:lineRule="exact"/>
      </w:pPr>
      <w:r>
        <w:rPr>
          <w:rFonts w:hint="eastAsia"/>
        </w:rPr>
        <w:t>所有风险评估结论均需经过严格的内部复核与批准，以确保客观性与一致性，流程如下：初步评估与编制：由主办风控专员完成初步分析并起草《风险评估报告》。</w:t>
      </w:r>
    </w:p>
    <w:p w14:paraId="29B80FAE">
      <w:pPr>
        <w:spacing w:line="520" w:lineRule="exact"/>
        <w:ind w:firstLine="0" w:firstLineChars="0"/>
      </w:pPr>
      <w:r>
        <w:rPr>
          <w:rFonts w:hint="eastAsia"/>
        </w:rPr>
        <w:t>分级复核：</w:t>
      </w:r>
    </w:p>
    <w:p w14:paraId="153E43CE">
      <w:pPr>
        <w:spacing w:line="520" w:lineRule="exact"/>
      </w:pPr>
      <w:r>
        <w:rPr>
          <w:rFonts w:hint="eastAsia"/>
        </w:rPr>
        <w:t>初级风险：由合规专员复核批准。</w:t>
      </w:r>
    </w:p>
    <w:p w14:paraId="10BBF527">
      <w:pPr>
        <w:spacing w:line="520" w:lineRule="exact"/>
      </w:pPr>
      <w:r>
        <w:rPr>
          <w:rFonts w:hint="eastAsia"/>
        </w:rPr>
        <w:t>中级险：在合规专员复核后，需提交至合规总监进行二次审批。</w:t>
      </w:r>
    </w:p>
    <w:p w14:paraId="15B89F4E">
      <w:pPr>
        <w:spacing w:line="520" w:lineRule="exact"/>
      </w:pPr>
      <w:r>
        <w:rPr>
          <w:rFonts w:hint="eastAsia"/>
        </w:rPr>
        <w:t>高级及以上风险：必须报送公司尽职管理委员会进行最终审议批准。</w:t>
      </w:r>
    </w:p>
    <w:p w14:paraId="66C42769">
      <w:pPr>
        <w:spacing w:line="520" w:lineRule="exact"/>
      </w:pPr>
      <w:r>
        <w:rPr>
          <w:rFonts w:hint="eastAsia"/>
        </w:rPr>
        <w:t>All risk assessment conclusions must undergo strict internal review and approval to ensure objectivity and consistency. The process is as follows:</w:t>
      </w:r>
    </w:p>
    <w:p w14:paraId="0E28CA34">
      <w:pPr>
        <w:spacing w:line="520" w:lineRule="exact"/>
      </w:pPr>
      <w:r>
        <w:rPr>
          <w:rFonts w:hint="eastAsia"/>
        </w:rPr>
        <w:t>Preliminary Assessment and Drafting:​</w:t>
      </w:r>
    </w:p>
    <w:p w14:paraId="4DE1E550">
      <w:pPr>
        <w:spacing w:line="520" w:lineRule="exact"/>
      </w:pPr>
      <w:r>
        <w:rPr>
          <w:rFonts w:hint="eastAsia"/>
        </w:rPr>
        <w:t>The assigned risk control specialist completes the initial analysis and drafts the Risk Assessment Report.</w:t>
      </w:r>
    </w:p>
    <w:p w14:paraId="6E26FF48">
      <w:pPr>
        <w:spacing w:line="520" w:lineRule="exact"/>
      </w:pPr>
      <w:r>
        <w:rPr>
          <w:rFonts w:hint="eastAsia"/>
        </w:rPr>
        <w:t>Tiered Review:​</w:t>
      </w:r>
    </w:p>
    <w:p w14:paraId="691C6976">
      <w:pPr>
        <w:spacing w:line="520" w:lineRule="exact"/>
      </w:pPr>
      <w:r>
        <w:rPr>
          <w:rFonts w:hint="eastAsia"/>
        </w:rPr>
        <w:t>Low-level risks:​ Reviewed and approved by the Compliance Officer.</w:t>
      </w:r>
    </w:p>
    <w:p w14:paraId="0206BAE6">
      <w:pPr>
        <w:spacing w:line="520" w:lineRule="exact"/>
      </w:pPr>
      <w:r>
        <w:rPr>
          <w:rFonts w:hint="eastAsia"/>
        </w:rPr>
        <w:t>Medium-level risks:​ After review by the Compliance Officer, submitted to the Compliance Director for secondary approval.</w:t>
      </w:r>
    </w:p>
    <w:p w14:paraId="573CB3AA">
      <w:pPr>
        <w:spacing w:line="520" w:lineRule="exact"/>
      </w:pPr>
      <w:r>
        <w:rPr>
          <w:rFonts w:hint="eastAsia"/>
        </w:rPr>
        <w:t>High-level and above risks:​ Must be escalated to the company’s Due Diligence Management Committee for final deliberation and approval.</w:t>
      </w:r>
    </w:p>
    <w:p w14:paraId="4EC55DBF">
      <w:pPr>
        <w:spacing w:line="520" w:lineRule="exact"/>
      </w:pPr>
      <w:r>
        <w:rPr>
          <w:rFonts w:hint="eastAsia"/>
        </w:rPr>
        <w:t>4.1作为风险识别组成部分的交易监控流程</w:t>
      </w:r>
    </w:p>
    <w:p w14:paraId="04AA42D4">
      <w:pPr>
        <w:spacing w:line="520" w:lineRule="exact"/>
      </w:pPr>
      <w:r>
        <w:rPr>
          <w:rFonts w:hint="eastAsia"/>
        </w:rPr>
        <w:t xml:space="preserve">4.1 Transaction Monitoring Process as a Component of Risk Identification  </w:t>
      </w:r>
    </w:p>
    <w:p w14:paraId="12D27BB6">
      <w:pPr>
        <w:spacing w:line="520" w:lineRule="exact"/>
      </w:pPr>
      <w:r>
        <w:rPr>
          <w:rFonts w:hint="eastAsia"/>
        </w:rPr>
        <w:t>交易监控是风险识别体系中动态、持续的核心环节。本公司的监控流程包括：</w:t>
      </w:r>
    </w:p>
    <w:p w14:paraId="2FE0AD8A">
      <w:pPr>
        <w:spacing w:line="520" w:lineRule="exact"/>
        <w:ind w:firstLine="0" w:firstLineChars="0"/>
      </w:pPr>
      <w:r>
        <w:rPr>
          <w:rFonts w:hint="eastAsia"/>
        </w:rPr>
        <w:t>监控范围与指标：对所有黄金购销、资金收付、实物交割等交易进行7x24小时监控。预设的监控指标包括但不限于：交易模式偏离客户历史行为、交易金额或频率异常、涉及高风险地域或敏感实体、供应链信息突然变更等。</w:t>
      </w:r>
    </w:p>
    <w:p w14:paraId="596E585B">
      <w:pPr>
        <w:spacing w:line="520" w:lineRule="exact"/>
      </w:pPr>
      <w:r>
        <w:rPr>
          <w:rFonts w:hint="eastAsia"/>
        </w:rPr>
        <w:t xml:space="preserve">Transaction monitoring serves as a dynamic and ongoing core element within the risk identification framework. The company's monitoring process includes the following:  </w:t>
      </w:r>
    </w:p>
    <w:p w14:paraId="79407100">
      <w:pPr>
        <w:spacing w:line="520" w:lineRule="exact"/>
        <w:ind w:firstLine="0" w:firstLineChars="0"/>
      </w:pPr>
      <w:r>
        <w:rPr>
          <w:rFonts w:hint="eastAsia"/>
        </w:rPr>
        <w:t xml:space="preserve">Monitoring Scope and Indicators:  </w:t>
      </w:r>
    </w:p>
    <w:p w14:paraId="0B44735C">
      <w:pPr>
        <w:spacing w:line="520" w:lineRule="exact"/>
        <w:rPr>
          <w:rFonts w:ascii="Times New Roman" w:hAnsi="Times New Roman" w:eastAsia="仿宋"/>
          <w:sz w:val="28"/>
          <w:szCs w:val="28"/>
        </w:rPr>
      </w:pPr>
      <w:r>
        <w:rPr>
          <w:rFonts w:hint="eastAsia"/>
        </w:rPr>
        <w:t>All transactions involving gold purchases and sales, fund transfers, and physical deliveries are monitored 24/7. Predefined monitoring indicators include, but are not limited to: deviations from customers' historical transaction patterns, unusual transaction amounts or frequencies, involvement of high-risk jurisdictions or sensitive entities, and sudden changes in supply chain information.</w:t>
      </w:r>
    </w:p>
    <w:p w14:paraId="7DC682DE">
      <w:pPr>
        <w:spacing w:line="520" w:lineRule="exact"/>
      </w:pPr>
      <w:r>
        <w:t>5</w:t>
      </w:r>
      <w:r>
        <w:rPr>
          <w:rFonts w:hint="eastAsia"/>
        </w:rPr>
        <w:t>.1风险评估标准</w:t>
      </w:r>
    </w:p>
    <w:p w14:paraId="43977496">
      <w:pPr>
        <w:spacing w:line="520" w:lineRule="exact"/>
      </w:pPr>
      <w:r>
        <w:t>5</w:t>
      </w:r>
      <w:r>
        <w:rPr>
          <w:rFonts w:hint="eastAsia"/>
        </w:rPr>
        <w:t>.1</w:t>
      </w:r>
      <w:r>
        <w:t xml:space="preserve"> Risk assessment criteria</w:t>
      </w:r>
    </w:p>
    <w:p w14:paraId="24607496">
      <w:pPr>
        <w:spacing w:line="520" w:lineRule="exact"/>
      </w:pPr>
      <w:r>
        <w:rPr>
          <w:rFonts w:hint="eastAsia"/>
        </w:rPr>
        <w:t>根据</w:t>
      </w:r>
      <w:r>
        <w:t>LBMA负责任黄金指南，公司制定并规定需要评估公司黄金供应链中的如下风险：</w:t>
      </w:r>
    </w:p>
    <w:p w14:paraId="23656D05">
      <w:pPr>
        <w:spacing w:line="520" w:lineRule="exact"/>
        <w:ind w:firstLine="0" w:firstLineChars="0"/>
      </w:pPr>
      <w:r>
        <w:t xml:space="preserve">In accordance with the </w:t>
      </w:r>
      <w:r>
        <w:rPr>
          <w:i/>
          <w:iCs/>
        </w:rPr>
        <w:t>LBMA Responsible Gold Guidance</w:t>
      </w:r>
      <w:r>
        <w:t>, the Company has discovered and stipulated the following risks in the Company’s gold supply chain to be assessed:</w:t>
      </w:r>
    </w:p>
    <w:p w14:paraId="05141A15">
      <w:pPr>
        <w:spacing w:line="520" w:lineRule="exact"/>
      </w:pPr>
      <w:r>
        <w:rPr>
          <w:rFonts w:hint="eastAsia"/>
        </w:rPr>
        <w:t>零容忍风险：</w:t>
      </w:r>
    </w:p>
    <w:p w14:paraId="6F39531F">
      <w:pPr>
        <w:spacing w:line="520" w:lineRule="exact"/>
      </w:pPr>
      <w:r>
        <w:t>Zero tolerance risks:</w:t>
      </w:r>
    </w:p>
    <w:p w14:paraId="0536AEA6">
      <w:pPr>
        <w:pStyle w:val="20"/>
        <w:numPr>
          <w:ilvl w:val="0"/>
          <w:numId w:val="4"/>
        </w:numPr>
        <w:spacing w:line="520" w:lineRule="exact"/>
        <w:ind w:firstLineChars="0"/>
      </w:pPr>
      <w:r>
        <w:rPr>
          <w:rFonts w:hint="eastAsia"/>
        </w:rPr>
        <w:t>开采金来自被指定为世界遗产地的地区</w:t>
      </w:r>
    </w:p>
    <w:p w14:paraId="1DD6B674">
      <w:pPr>
        <w:spacing w:line="520" w:lineRule="exact"/>
        <w:ind w:firstLine="630" w:firstLineChars="300"/>
      </w:pPr>
      <w:r>
        <w:t>1.</w:t>
      </w:r>
      <w:r>
        <w:tab/>
      </w:r>
      <w:r>
        <w:t>Min</w:t>
      </w:r>
      <w:r>
        <w:rPr>
          <w:rFonts w:hint="eastAsia"/>
        </w:rPr>
        <w:t>ed</w:t>
      </w:r>
      <w:r>
        <w:t xml:space="preserve"> gold comes from areas designated as world heritage sites</w:t>
      </w:r>
    </w:p>
    <w:p w14:paraId="512230B2">
      <w:pPr>
        <w:pStyle w:val="20"/>
        <w:numPr>
          <w:ilvl w:val="0"/>
          <w:numId w:val="4"/>
        </w:numPr>
        <w:spacing w:line="520" w:lineRule="exact"/>
        <w:ind w:firstLineChars="0"/>
      </w:pPr>
      <w:r>
        <w:rPr>
          <w:rFonts w:hint="eastAsia"/>
        </w:rPr>
        <w:t>以违反国际制裁</w:t>
      </w:r>
      <w:r>
        <w:t>(</w:t>
      </w:r>
      <w:r>
        <w:rPr>
          <w:rFonts w:hint="eastAsia"/>
        </w:rPr>
        <w:t>包括但不吸纳与联合国、欧盟、英国和美国制裁</w:t>
      </w:r>
      <w:r>
        <w:t>)</w:t>
      </w:r>
      <w:r>
        <w:rPr>
          <w:rFonts w:hint="eastAsia"/>
        </w:rPr>
        <w:t>的方式采购开采金或再生金）</w:t>
      </w:r>
    </w:p>
    <w:p w14:paraId="27B2EB1E">
      <w:pPr>
        <w:spacing w:line="520" w:lineRule="exact"/>
        <w:ind w:firstLine="630" w:firstLineChars="300"/>
      </w:pPr>
      <w:r>
        <w:t>2.</w:t>
      </w:r>
      <w:r>
        <w:tab/>
      </w:r>
      <w:r>
        <w:t>Min</w:t>
      </w:r>
      <w:r>
        <w:rPr>
          <w:rFonts w:hint="eastAsia"/>
        </w:rPr>
        <w:t>ed</w:t>
      </w:r>
      <w:r>
        <w:t xml:space="preserve"> gold or recycled gold is purchased in violation of international sanctions (including but not including sanctions with the United Nations, the European Union, the United Kingdom and the United States)</w:t>
      </w:r>
    </w:p>
    <w:p w14:paraId="15F29832">
      <w:pPr>
        <w:pStyle w:val="20"/>
        <w:numPr>
          <w:ilvl w:val="255"/>
          <w:numId w:val="0"/>
        </w:numPr>
        <w:spacing w:line="520" w:lineRule="exact"/>
        <w:ind w:left="560"/>
      </w:pPr>
      <w:r>
        <w:rPr>
          <w:rFonts w:hint="eastAsia"/>
        </w:rPr>
        <w:t>开采金或再生金的供应对手方、其他已知的上游公司或其</w:t>
      </w:r>
      <w:r>
        <w:t xml:space="preserve"> UBO</w:t>
      </w:r>
      <w:r>
        <w:rPr>
          <w:rFonts w:hint="eastAsia"/>
        </w:rPr>
        <w:t>是已知的洗钱者、欺诈者或恐怖分子，或曾严重侵犯人权，或直接或间接支持非法非国家武装组织</w:t>
      </w:r>
    </w:p>
    <w:p w14:paraId="16C575C8">
      <w:pPr>
        <w:spacing w:line="520" w:lineRule="exact"/>
      </w:pPr>
      <w:r>
        <w:t>3.</w:t>
      </w:r>
      <w:r>
        <w:tab/>
      </w:r>
      <w:r>
        <w:t>The supply counterparties of min</w:t>
      </w:r>
      <w:r>
        <w:rPr>
          <w:rFonts w:hint="eastAsia"/>
        </w:rPr>
        <w:t>ed</w:t>
      </w:r>
      <w:r>
        <w:t xml:space="preserve"> gold or recycled gold, other known upstream companies or their UBOs are known money launderers, fraudsters or terrorists, or have seriously violated human rights, or have directly or indirectly supported illegal non-state armed organizations</w:t>
      </w:r>
    </w:p>
    <w:p w14:paraId="3044354D">
      <w:pPr>
        <w:spacing w:line="520" w:lineRule="exact"/>
      </w:pPr>
      <w:r>
        <w:rPr>
          <w:rFonts w:hint="eastAsia"/>
        </w:rPr>
        <w:t>开采金的高风险：</w:t>
      </w:r>
    </w:p>
    <w:p w14:paraId="43BD94ED">
      <w:pPr>
        <w:spacing w:line="520" w:lineRule="exact"/>
      </w:pPr>
      <w:r>
        <w:t>High risks of gold mining:</w:t>
      </w:r>
    </w:p>
    <w:p w14:paraId="5B072CA6">
      <w:pPr>
        <w:spacing w:line="520" w:lineRule="exact"/>
      </w:pPr>
      <w:r>
        <w:rPr>
          <w:rFonts w:hint="eastAsia"/>
        </w:rPr>
        <w:t>基于位置的风险，开采金：</w:t>
      </w:r>
    </w:p>
    <w:p w14:paraId="3D48D35E">
      <w:pPr>
        <w:spacing w:line="520" w:lineRule="exact"/>
      </w:pPr>
      <w:r>
        <w:t>Based on the risks of location, min</w:t>
      </w:r>
      <w:r>
        <w:rPr>
          <w:rFonts w:hint="eastAsia"/>
        </w:rPr>
        <w:t>ed</w:t>
      </w:r>
      <w:r>
        <w:t xml:space="preserve"> gold:</w:t>
      </w:r>
    </w:p>
    <w:p w14:paraId="2DE188AD">
      <w:pPr>
        <w:pStyle w:val="20"/>
        <w:numPr>
          <w:ilvl w:val="0"/>
          <w:numId w:val="5"/>
        </w:numPr>
        <w:spacing w:line="520" w:lineRule="exact"/>
        <w:ind w:firstLineChars="0"/>
      </w:pPr>
      <w:r>
        <w:rPr>
          <w:rFonts w:hint="eastAsia"/>
        </w:rPr>
        <w:t>来自受冲突影响和高风险地区</w:t>
      </w:r>
      <w:r>
        <w:t xml:space="preserve"> (CAHRA) </w:t>
      </w:r>
      <w:r>
        <w:rPr>
          <w:rFonts w:hint="eastAsia"/>
        </w:rPr>
        <w:t>或曾在该等地区过境或通过该等地区运输</w:t>
      </w:r>
      <w:r>
        <w:t xml:space="preserve"> </w:t>
      </w:r>
    </w:p>
    <w:p w14:paraId="40453249">
      <w:pPr>
        <w:spacing w:line="520" w:lineRule="exact"/>
        <w:ind w:firstLine="630" w:firstLineChars="300"/>
      </w:pPr>
      <w:r>
        <w:t>1.</w:t>
      </w:r>
      <w:r>
        <w:tab/>
      </w:r>
      <w:r>
        <w:t>comes from conflict-affected and high-risk areas (CAHRA), or has been transit or transported through such areas</w:t>
      </w:r>
    </w:p>
    <w:p w14:paraId="39A6E167">
      <w:pPr>
        <w:pStyle w:val="20"/>
        <w:numPr>
          <w:ilvl w:val="0"/>
          <w:numId w:val="5"/>
        </w:numPr>
        <w:spacing w:line="520" w:lineRule="exact"/>
        <w:ind w:firstLineChars="0"/>
      </w:pPr>
      <w:r>
        <w:rPr>
          <w:rFonts w:hint="eastAsia"/>
        </w:rPr>
        <w:t>据称来自已知或合理怀疑来自</w:t>
      </w:r>
      <w:r>
        <w:t xml:space="preserve"> CAHRA </w:t>
      </w:r>
      <w:r>
        <w:rPr>
          <w:rFonts w:hint="eastAsia"/>
        </w:rPr>
        <w:t>的黄金过境的国家</w:t>
      </w:r>
      <w:r>
        <w:t>/</w:t>
      </w:r>
      <w:r>
        <w:rPr>
          <w:rFonts w:hint="eastAsia"/>
        </w:rPr>
        <w:t>地区</w:t>
      </w:r>
      <w:r>
        <w:t xml:space="preserve"> </w:t>
      </w:r>
    </w:p>
    <w:p w14:paraId="5221FFD0">
      <w:pPr>
        <w:spacing w:line="520" w:lineRule="exact"/>
        <w:ind w:firstLine="630" w:firstLineChars="300"/>
      </w:pPr>
      <w:r>
        <w:t>2.</w:t>
      </w:r>
      <w:r>
        <w:tab/>
      </w:r>
      <w:r>
        <w:t>is alleged to come from countries/regions where gold from CAHRA is known or reasonably suspected to be in transit</w:t>
      </w:r>
    </w:p>
    <w:p w14:paraId="7D5FAEC4">
      <w:pPr>
        <w:pStyle w:val="20"/>
        <w:numPr>
          <w:ilvl w:val="0"/>
          <w:numId w:val="5"/>
        </w:numPr>
        <w:spacing w:line="520" w:lineRule="exact"/>
        <w:ind w:firstLineChars="0"/>
      </w:pPr>
      <w:r>
        <w:rPr>
          <w:rFonts w:hint="eastAsia"/>
        </w:rPr>
        <w:t>据称来自已知储量、可能资源或预期产量有限的国家</w:t>
      </w:r>
      <w:r>
        <w:t>/</w:t>
      </w:r>
      <w:r>
        <w:rPr>
          <w:rFonts w:hint="eastAsia"/>
        </w:rPr>
        <w:t>地区</w:t>
      </w:r>
      <w:r>
        <w:t xml:space="preserve"> </w:t>
      </w:r>
    </w:p>
    <w:p w14:paraId="5AC09E19">
      <w:pPr>
        <w:spacing w:line="520" w:lineRule="exact"/>
        <w:ind w:firstLine="630" w:firstLineChars="300"/>
      </w:pPr>
      <w:r>
        <w:rPr>
          <w:rFonts w:hint="eastAsia"/>
        </w:rPr>
        <w:t>3</w:t>
      </w:r>
      <w:r>
        <w:t>.</w:t>
      </w:r>
      <w:r>
        <w:tab/>
      </w:r>
      <w:r>
        <w:t>is alleged to come from countries/regions with limited known reserves, possible resources or expected production</w:t>
      </w:r>
    </w:p>
    <w:p w14:paraId="2A7DF987">
      <w:pPr>
        <w:spacing w:line="520" w:lineRule="exact"/>
      </w:pPr>
      <w:r>
        <w:rPr>
          <w:rFonts w:hint="eastAsia"/>
        </w:rPr>
        <w:t>基于交易方的风险，交易对手方或其他已知的上游公司：</w:t>
      </w:r>
    </w:p>
    <w:p w14:paraId="3DDA7EB8">
      <w:pPr>
        <w:spacing w:line="520" w:lineRule="exact"/>
      </w:pPr>
      <w:r>
        <w:t>Based on the risks of the suppliers, the counterparties or other known upstream companies:</w:t>
      </w:r>
    </w:p>
    <w:p w14:paraId="023C280C">
      <w:pPr>
        <w:pStyle w:val="20"/>
        <w:numPr>
          <w:ilvl w:val="0"/>
          <w:numId w:val="6"/>
        </w:numPr>
        <w:spacing w:line="520" w:lineRule="exact"/>
        <w:ind w:firstLineChars="0"/>
      </w:pPr>
      <w:r>
        <w:rPr>
          <w:rFonts w:hint="eastAsia"/>
        </w:rPr>
        <w:t>具有符合基于位置高风险标准的股东或</w:t>
      </w:r>
      <w:r>
        <w:t xml:space="preserve"> UBO </w:t>
      </w:r>
      <w:r>
        <w:rPr>
          <w:rFonts w:hint="eastAsia"/>
        </w:rPr>
        <w:t>或其他黄金供应权益</w:t>
      </w:r>
      <w:r>
        <w:t xml:space="preserve"> </w:t>
      </w:r>
    </w:p>
    <w:p w14:paraId="58D9079C">
      <w:pPr>
        <w:spacing w:line="520" w:lineRule="exact"/>
        <w:ind w:firstLine="630" w:firstLineChars="300"/>
      </w:pPr>
      <w:r>
        <w:t>1.</w:t>
      </w:r>
      <w:r>
        <w:tab/>
      </w:r>
      <w:r>
        <w:t>have interests of shareholders or UBOs or other gold supply interests that meet the location-based high-risk criteria</w:t>
      </w:r>
    </w:p>
    <w:p w14:paraId="1905CECF">
      <w:pPr>
        <w:pStyle w:val="20"/>
        <w:numPr>
          <w:ilvl w:val="0"/>
          <w:numId w:val="6"/>
        </w:numPr>
        <w:spacing w:line="520" w:lineRule="exact"/>
        <w:ind w:firstLineChars="0"/>
      </w:pPr>
      <w:r>
        <w:rPr>
          <w:rFonts w:hint="eastAsia"/>
        </w:rPr>
        <w:t>具有身为政治人物</w:t>
      </w:r>
      <w:r>
        <w:t xml:space="preserve"> (PEP) </w:t>
      </w:r>
      <w:r>
        <w:rPr>
          <w:rFonts w:hint="eastAsia"/>
        </w:rPr>
        <w:t>的</w:t>
      </w:r>
      <w:r>
        <w:t xml:space="preserve"> UBO </w:t>
      </w:r>
    </w:p>
    <w:p w14:paraId="0EDB8B3B">
      <w:pPr>
        <w:spacing w:line="520" w:lineRule="exact"/>
        <w:ind w:firstLine="630" w:firstLineChars="300"/>
      </w:pPr>
      <w:r>
        <w:t>2.</w:t>
      </w:r>
      <w:r>
        <w:tab/>
      </w:r>
      <w:r>
        <w:t>have UBO as politically exposed persons (PEP)</w:t>
      </w:r>
    </w:p>
    <w:p w14:paraId="17791A79">
      <w:pPr>
        <w:pStyle w:val="20"/>
        <w:numPr>
          <w:ilvl w:val="0"/>
          <w:numId w:val="6"/>
        </w:numPr>
        <w:spacing w:line="520" w:lineRule="exact"/>
        <w:ind w:firstLineChars="0"/>
      </w:pPr>
      <w:r>
        <w:rPr>
          <w:rFonts w:hint="eastAsia"/>
        </w:rPr>
        <w:t>从事高风险商业活动</w:t>
      </w:r>
      <w:r>
        <w:t>(</w:t>
      </w:r>
      <w:r>
        <w:rPr>
          <w:rFonts w:hint="eastAsia"/>
        </w:rPr>
        <w:t>如军火、赌博和娱乐业、古董和艺术、教派及其领袖</w:t>
      </w:r>
      <w:r>
        <w:t xml:space="preserve">) </w:t>
      </w:r>
    </w:p>
    <w:p w14:paraId="1BF944BD">
      <w:pPr>
        <w:spacing w:line="520" w:lineRule="exact"/>
        <w:ind w:firstLine="630" w:firstLineChars="300"/>
      </w:pPr>
      <w:r>
        <w:t>3.</w:t>
      </w:r>
      <w:r>
        <w:tab/>
      </w:r>
      <w:r>
        <w:t>engage in high-risk business activities (such as arms, gambling and entertainment, antiques and arts, sects and their leaders)</w:t>
      </w:r>
    </w:p>
    <w:p w14:paraId="44CEC3A7">
      <w:pPr>
        <w:pStyle w:val="20"/>
        <w:numPr>
          <w:ilvl w:val="0"/>
          <w:numId w:val="6"/>
        </w:numPr>
        <w:spacing w:line="520" w:lineRule="exact"/>
        <w:ind w:firstLineChars="0"/>
      </w:pPr>
      <w:r>
        <w:rPr>
          <w:rFonts w:hint="eastAsia"/>
        </w:rPr>
        <w:t>已知在过去</w:t>
      </w:r>
      <w:r>
        <w:t xml:space="preserve"> 12 </w:t>
      </w:r>
      <w:r>
        <w:rPr>
          <w:rFonts w:hint="eastAsia"/>
        </w:rPr>
        <w:t>个月曾从高风险国家</w:t>
      </w:r>
      <w:r>
        <w:t>/</w:t>
      </w:r>
      <w:r>
        <w:rPr>
          <w:rFonts w:hint="eastAsia"/>
        </w:rPr>
        <w:t>地区采购黄金</w:t>
      </w:r>
    </w:p>
    <w:p w14:paraId="4B34B1F6">
      <w:pPr>
        <w:spacing w:line="520" w:lineRule="exact"/>
        <w:ind w:firstLine="630" w:firstLineChars="300"/>
      </w:pPr>
      <w:r>
        <w:t>4.</w:t>
      </w:r>
      <w:r>
        <w:tab/>
      </w:r>
      <w:r>
        <w:t>are known to have purchased gold from high-risk countries/regions in the past 12 months</w:t>
      </w:r>
    </w:p>
    <w:p w14:paraId="3F9C1178">
      <w:pPr>
        <w:pStyle w:val="20"/>
        <w:numPr>
          <w:ilvl w:val="0"/>
          <w:numId w:val="6"/>
        </w:numPr>
        <w:spacing w:line="520" w:lineRule="exact"/>
        <w:ind w:firstLineChars="0"/>
      </w:pPr>
      <w:r>
        <w:rPr>
          <w:rFonts w:hint="eastAsia"/>
        </w:rPr>
        <w:t>提供的文件有重大差异</w:t>
      </w:r>
      <w:r>
        <w:t>/</w:t>
      </w:r>
      <w:r>
        <w:rPr>
          <w:rFonts w:hint="eastAsia"/>
        </w:rPr>
        <w:t>不一致，或拒绝提供所要求的文件。</w:t>
      </w:r>
      <w:r>
        <w:t xml:space="preserve"> </w:t>
      </w:r>
    </w:p>
    <w:p w14:paraId="61570009">
      <w:pPr>
        <w:spacing w:line="520" w:lineRule="exact"/>
        <w:ind w:firstLine="630" w:firstLineChars="300"/>
      </w:pPr>
      <w:r>
        <w:t>5.</w:t>
      </w:r>
      <w:r>
        <w:tab/>
      </w:r>
      <w:r>
        <w:t>can see significant difference/inconsistency in documents provided, or refuse to provide the documents required.</w:t>
      </w:r>
    </w:p>
    <w:p w14:paraId="61A93222">
      <w:pPr>
        <w:spacing w:line="520" w:lineRule="exact"/>
      </w:pPr>
      <w:r>
        <w:rPr>
          <w:rFonts w:hint="eastAsia"/>
        </w:rPr>
        <w:t>基于物料类型的风险，开采金：</w:t>
      </w:r>
    </w:p>
    <w:p w14:paraId="32F52C87">
      <w:pPr>
        <w:spacing w:line="520" w:lineRule="exact"/>
      </w:pPr>
      <w:r>
        <w:t>Based on the risks of material type, mined gold:</w:t>
      </w:r>
    </w:p>
    <w:p w14:paraId="02B9F949">
      <w:pPr>
        <w:pStyle w:val="20"/>
        <w:numPr>
          <w:ilvl w:val="0"/>
          <w:numId w:val="7"/>
        </w:numPr>
        <w:spacing w:line="520" w:lineRule="exact"/>
        <w:ind w:firstLineChars="0"/>
      </w:pPr>
      <w:r>
        <w:rPr>
          <w:rFonts w:hint="eastAsia"/>
        </w:rPr>
        <w:t>采购自</w:t>
      </w:r>
      <w:r>
        <w:t xml:space="preserve"> ASM </w:t>
      </w:r>
    </w:p>
    <w:p w14:paraId="339D0883">
      <w:pPr>
        <w:spacing w:line="520" w:lineRule="exact"/>
        <w:ind w:firstLine="630" w:firstLineChars="300"/>
      </w:pPr>
      <w:r>
        <w:t>1.</w:t>
      </w:r>
      <w:r>
        <w:tab/>
      </w:r>
      <w:r>
        <w:t>is purchased from ASM</w:t>
      </w:r>
    </w:p>
    <w:p w14:paraId="2A5C5CC4">
      <w:pPr>
        <w:pStyle w:val="20"/>
        <w:numPr>
          <w:ilvl w:val="0"/>
          <w:numId w:val="7"/>
        </w:numPr>
        <w:spacing w:line="520" w:lineRule="exact"/>
        <w:ind w:firstLineChars="0"/>
      </w:pPr>
      <w:r>
        <w:rPr>
          <w:rFonts w:hint="eastAsia"/>
        </w:rPr>
        <w:t>使用汞生产</w:t>
      </w:r>
      <w:r>
        <w:t xml:space="preserve"> </w:t>
      </w:r>
    </w:p>
    <w:p w14:paraId="345F8726">
      <w:pPr>
        <w:spacing w:line="520" w:lineRule="exact"/>
        <w:ind w:firstLine="630" w:firstLineChars="300"/>
      </w:pPr>
      <w:r>
        <w:t>2.</w:t>
      </w:r>
      <w:r>
        <w:tab/>
      </w:r>
      <w:r>
        <w:t>is produced by using mercury</w:t>
      </w:r>
    </w:p>
    <w:p w14:paraId="4FD07C45">
      <w:pPr>
        <w:pStyle w:val="20"/>
        <w:numPr>
          <w:ilvl w:val="0"/>
          <w:numId w:val="7"/>
        </w:numPr>
        <w:spacing w:line="520" w:lineRule="exact"/>
        <w:ind w:firstLineChars="0"/>
      </w:pPr>
      <w:r>
        <w:rPr>
          <w:rFonts w:hint="eastAsia"/>
        </w:rPr>
        <w:t>造成灾难性伤害或高度不利的</w:t>
      </w:r>
      <w:r>
        <w:t xml:space="preserve"> ESG </w:t>
      </w:r>
      <w:r>
        <w:rPr>
          <w:rFonts w:hint="eastAsia"/>
        </w:rPr>
        <w:t>因素</w:t>
      </w:r>
      <w:r>
        <w:t>(</w:t>
      </w:r>
      <w:r>
        <w:rPr>
          <w:rFonts w:hint="eastAsia"/>
        </w:rPr>
        <w:t>在精炼商能够识别的范围内</w:t>
      </w:r>
      <w:r>
        <w:t>)(</w:t>
      </w:r>
      <w:r>
        <w:rPr>
          <w:rFonts w:hint="eastAsia"/>
        </w:rPr>
        <w:t>例如，通过公共领域的记录或精炼商的尽职调查文件</w:t>
      </w:r>
      <w:r>
        <w:t>)</w:t>
      </w:r>
      <w:r>
        <w:rPr>
          <w:rFonts w:hint="eastAsia"/>
        </w:rPr>
        <w:t>。</w:t>
      </w:r>
      <w:r>
        <w:t xml:space="preserve"> </w:t>
      </w:r>
    </w:p>
    <w:p w14:paraId="0C3C3724">
      <w:pPr>
        <w:spacing w:line="520" w:lineRule="exact"/>
        <w:ind w:firstLine="630" w:firstLineChars="300"/>
      </w:pPr>
      <w:r>
        <w:t>3.</w:t>
      </w:r>
      <w:r>
        <w:tab/>
      </w:r>
      <w:r>
        <w:t>can cause catastrophic injury or highly adverse ESG factors (within the scope that the refiner can identify) (for example, through records in the public domain or due diligence documents of the refiner).</w:t>
      </w:r>
    </w:p>
    <w:p w14:paraId="7D1C0BE8">
      <w:pPr>
        <w:spacing w:line="520" w:lineRule="exact"/>
      </w:pPr>
      <w:r>
        <w:rPr>
          <w:rFonts w:hint="eastAsia"/>
        </w:rPr>
        <w:t>再生（回收）金的高风险</w:t>
      </w:r>
    </w:p>
    <w:p w14:paraId="3801CD73">
      <w:pPr>
        <w:spacing w:line="520" w:lineRule="exact"/>
      </w:pPr>
      <w:r>
        <w:t>High risks of regenerated (reccycled) gold</w:t>
      </w:r>
    </w:p>
    <w:p w14:paraId="38338C85">
      <w:pPr>
        <w:spacing w:line="520" w:lineRule="exact"/>
      </w:pPr>
      <w:r>
        <w:rPr>
          <w:rFonts w:hint="eastAsia"/>
        </w:rPr>
        <w:t>基于位置的风险，</w:t>
      </w:r>
      <w:r>
        <w:t xml:space="preserve"> </w:t>
      </w:r>
      <w:r>
        <w:rPr>
          <w:rFonts w:hint="eastAsia"/>
        </w:rPr>
        <w:t>再生（回收）金：</w:t>
      </w:r>
    </w:p>
    <w:p w14:paraId="2CA298B1">
      <w:pPr>
        <w:spacing w:line="520" w:lineRule="exact"/>
      </w:pPr>
      <w:r>
        <w:t>Based on the risks of location, regenerated (recycled) gold:</w:t>
      </w:r>
    </w:p>
    <w:p w14:paraId="74C897FD">
      <w:pPr>
        <w:pStyle w:val="20"/>
        <w:numPr>
          <w:ilvl w:val="0"/>
          <w:numId w:val="8"/>
        </w:numPr>
        <w:spacing w:line="520" w:lineRule="exact"/>
        <w:ind w:firstLineChars="0"/>
      </w:pPr>
      <w:r>
        <w:rPr>
          <w:rFonts w:hint="eastAsia"/>
        </w:rPr>
        <w:t>来自于</w:t>
      </w:r>
      <w:r>
        <w:t>CAHRA</w:t>
      </w:r>
      <w:r>
        <w:rPr>
          <w:rFonts w:hint="eastAsia"/>
        </w:rPr>
        <w:t>，或曾在该</w:t>
      </w:r>
      <w:r>
        <w:t xml:space="preserve"> CAHRA </w:t>
      </w:r>
      <w:r>
        <w:rPr>
          <w:rFonts w:hint="eastAsia"/>
        </w:rPr>
        <w:t>过境或通过该</w:t>
      </w:r>
      <w:r>
        <w:t xml:space="preserve"> CAHRA </w:t>
      </w:r>
      <w:r>
        <w:rPr>
          <w:rFonts w:hint="eastAsia"/>
        </w:rPr>
        <w:t>运输</w:t>
      </w:r>
      <w:r>
        <w:t xml:space="preserve"> </w:t>
      </w:r>
    </w:p>
    <w:p w14:paraId="4E7BAF02">
      <w:pPr>
        <w:spacing w:line="520" w:lineRule="exact"/>
        <w:ind w:firstLine="630" w:firstLineChars="300"/>
      </w:pPr>
      <w:r>
        <w:t>1.</w:t>
      </w:r>
      <w:r>
        <w:tab/>
      </w:r>
      <w:r>
        <w:t>comes from CAHRA, or has been transit or transported through such CAHRA</w:t>
      </w:r>
    </w:p>
    <w:p w14:paraId="79F5C15B">
      <w:pPr>
        <w:pStyle w:val="20"/>
        <w:numPr>
          <w:ilvl w:val="0"/>
          <w:numId w:val="8"/>
        </w:numPr>
        <w:spacing w:line="520" w:lineRule="exact"/>
        <w:ind w:firstLineChars="0"/>
      </w:pPr>
      <w:r>
        <w:rPr>
          <w:rFonts w:hint="eastAsia"/>
        </w:rPr>
        <w:t>据称来自已知或合理怀疑来自</w:t>
      </w:r>
      <w:r>
        <w:t xml:space="preserve"> CAHRA </w:t>
      </w:r>
      <w:r>
        <w:rPr>
          <w:rFonts w:hint="eastAsia"/>
        </w:rPr>
        <w:t>的黄金过境的国家</w:t>
      </w:r>
      <w:r>
        <w:t>/</w:t>
      </w:r>
      <w:r>
        <w:rPr>
          <w:rFonts w:hint="eastAsia"/>
        </w:rPr>
        <w:t>地区及</w:t>
      </w:r>
      <w:r>
        <w:t>/</w:t>
      </w:r>
      <w:r>
        <w:rPr>
          <w:rFonts w:hint="eastAsia"/>
        </w:rPr>
        <w:t>或据称来自黄金出口量有限的国家</w:t>
      </w:r>
      <w:r>
        <w:t>/</w:t>
      </w:r>
      <w:r>
        <w:rPr>
          <w:rFonts w:hint="eastAsia"/>
        </w:rPr>
        <w:t>地区</w:t>
      </w:r>
      <w:r>
        <w:t xml:space="preserve"> </w:t>
      </w:r>
    </w:p>
    <w:p w14:paraId="6407B3E5">
      <w:pPr>
        <w:spacing w:line="520" w:lineRule="exact"/>
        <w:ind w:firstLine="630" w:firstLineChars="300"/>
      </w:pPr>
      <w:r>
        <w:t>2.</w:t>
      </w:r>
      <w:r>
        <w:tab/>
      </w:r>
      <w:r>
        <w:t>is alleged to come from countries/regions where gold is known or reasonably suspected to be from CAHRA and/or countries/regions where gold exports are limited</w:t>
      </w:r>
    </w:p>
    <w:p w14:paraId="168D515A">
      <w:pPr>
        <w:spacing w:line="520" w:lineRule="exact"/>
      </w:pPr>
      <w:r>
        <w:rPr>
          <w:rFonts w:hint="eastAsia"/>
        </w:rPr>
        <w:t>基于交易方的风险，交易对手方或其他已知的上游公司：</w:t>
      </w:r>
    </w:p>
    <w:p w14:paraId="4676B885">
      <w:pPr>
        <w:spacing w:line="520" w:lineRule="exact"/>
      </w:pPr>
      <w:r>
        <w:t>Based on the risks of the suppliers, the counterparties or other known upstream companies:</w:t>
      </w:r>
    </w:p>
    <w:p w14:paraId="5391A374">
      <w:pPr>
        <w:pStyle w:val="20"/>
        <w:numPr>
          <w:ilvl w:val="0"/>
          <w:numId w:val="9"/>
        </w:numPr>
        <w:spacing w:line="520" w:lineRule="exact"/>
        <w:ind w:firstLineChars="0"/>
      </w:pPr>
      <w:r>
        <w:rPr>
          <w:rFonts w:hint="eastAsia"/>
        </w:rPr>
        <w:t>在具有高洗钱风险的国家</w:t>
      </w:r>
      <w:r>
        <w:t>/</w:t>
      </w:r>
      <w:r>
        <w:rPr>
          <w:rFonts w:hint="eastAsia"/>
        </w:rPr>
        <w:t>地区运营</w:t>
      </w:r>
    </w:p>
    <w:p w14:paraId="15386A84">
      <w:pPr>
        <w:spacing w:line="520" w:lineRule="exact"/>
        <w:ind w:firstLine="630" w:firstLineChars="300"/>
      </w:pPr>
      <w:r>
        <w:t>1.</w:t>
      </w:r>
      <w:r>
        <w:tab/>
      </w:r>
      <w:r>
        <w:t>operate in countries with high money laundering risk</w:t>
      </w:r>
    </w:p>
    <w:p w14:paraId="305B0778">
      <w:pPr>
        <w:pStyle w:val="20"/>
        <w:numPr>
          <w:ilvl w:val="0"/>
          <w:numId w:val="9"/>
        </w:numPr>
        <w:spacing w:line="520" w:lineRule="exact"/>
        <w:ind w:firstLineChars="0"/>
      </w:pPr>
      <w:r>
        <w:rPr>
          <w:rFonts w:hint="eastAsia"/>
        </w:rPr>
        <w:t>具有符合基于位置高风险标准的股东或</w:t>
      </w:r>
      <w:r>
        <w:t xml:space="preserve"> UBO </w:t>
      </w:r>
      <w:r>
        <w:rPr>
          <w:rFonts w:hint="eastAsia"/>
        </w:rPr>
        <w:t>或其他黄金供应权益</w:t>
      </w:r>
      <w:r>
        <w:t xml:space="preserve"> </w:t>
      </w:r>
    </w:p>
    <w:p w14:paraId="2F3A654E">
      <w:pPr>
        <w:spacing w:line="520" w:lineRule="exact"/>
        <w:ind w:firstLine="630" w:firstLineChars="300"/>
      </w:pPr>
      <w:r>
        <w:t>2.</w:t>
      </w:r>
      <w:r>
        <w:tab/>
      </w:r>
      <w:r>
        <w:t>have interests of shareholders or UBOs or other gold supply interests that meet the location-based high-risk criteria</w:t>
      </w:r>
    </w:p>
    <w:p w14:paraId="6E4D2B96">
      <w:pPr>
        <w:pStyle w:val="20"/>
        <w:numPr>
          <w:ilvl w:val="0"/>
          <w:numId w:val="9"/>
        </w:numPr>
        <w:spacing w:line="520" w:lineRule="exact"/>
        <w:ind w:firstLineChars="0"/>
      </w:pPr>
      <w:r>
        <w:rPr>
          <w:rFonts w:hint="eastAsia"/>
        </w:rPr>
        <w:t>具有身为政治人物</w:t>
      </w:r>
      <w:r>
        <w:t xml:space="preserve"> (PEP) </w:t>
      </w:r>
      <w:r>
        <w:rPr>
          <w:rFonts w:hint="eastAsia"/>
        </w:rPr>
        <w:t>的</w:t>
      </w:r>
      <w:r>
        <w:t xml:space="preserve"> UBO </w:t>
      </w:r>
    </w:p>
    <w:p w14:paraId="218E19EC">
      <w:pPr>
        <w:spacing w:line="520" w:lineRule="exact"/>
        <w:ind w:firstLine="630" w:firstLineChars="300"/>
      </w:pPr>
      <w:r>
        <w:t>3.</w:t>
      </w:r>
      <w:r>
        <w:tab/>
      </w:r>
      <w:r>
        <w:t>have UBO as politically exposed persons (PEP)</w:t>
      </w:r>
    </w:p>
    <w:p w14:paraId="638532F2">
      <w:pPr>
        <w:pStyle w:val="20"/>
        <w:numPr>
          <w:ilvl w:val="0"/>
          <w:numId w:val="9"/>
        </w:numPr>
        <w:spacing w:line="520" w:lineRule="exact"/>
        <w:ind w:firstLineChars="0"/>
      </w:pPr>
      <w:r>
        <w:rPr>
          <w:rFonts w:hint="eastAsia"/>
        </w:rPr>
        <w:t>从事高风险商业活动</w:t>
      </w:r>
      <w:r>
        <w:t>(</w:t>
      </w:r>
      <w:r>
        <w:rPr>
          <w:rFonts w:hint="eastAsia"/>
        </w:rPr>
        <w:t>如军火、赌博和娱乐业、古董和艺术、教派及其领袖</w:t>
      </w:r>
      <w:r>
        <w:t xml:space="preserve">) </w:t>
      </w:r>
    </w:p>
    <w:p w14:paraId="0800614F">
      <w:pPr>
        <w:spacing w:line="520" w:lineRule="exact"/>
        <w:ind w:firstLine="630" w:firstLineChars="300"/>
      </w:pPr>
      <w:r>
        <w:t>4.</w:t>
      </w:r>
      <w:r>
        <w:tab/>
      </w:r>
      <w:r>
        <w:t>engage in high-risk business activities (such as arms, gambling and entertainment, antiques and arts, sects and their leaders)</w:t>
      </w:r>
    </w:p>
    <w:p w14:paraId="11A1BCB0">
      <w:pPr>
        <w:pStyle w:val="20"/>
        <w:numPr>
          <w:ilvl w:val="0"/>
          <w:numId w:val="9"/>
        </w:numPr>
        <w:spacing w:line="520" w:lineRule="exact"/>
        <w:ind w:firstLineChars="0"/>
      </w:pPr>
      <w:r>
        <w:rPr>
          <w:rFonts w:hint="eastAsia"/>
        </w:rPr>
        <w:t>已知在过去</w:t>
      </w:r>
      <w:r>
        <w:t xml:space="preserve"> 12 </w:t>
      </w:r>
      <w:r>
        <w:rPr>
          <w:rFonts w:hint="eastAsia"/>
        </w:rPr>
        <w:t>个月曾从高风险国家</w:t>
      </w:r>
      <w:r>
        <w:t>/</w:t>
      </w:r>
      <w:r>
        <w:rPr>
          <w:rFonts w:hint="eastAsia"/>
        </w:rPr>
        <w:t>地区采购黄金</w:t>
      </w:r>
    </w:p>
    <w:p w14:paraId="04D06D21">
      <w:pPr>
        <w:spacing w:line="520" w:lineRule="exact"/>
        <w:ind w:firstLine="630" w:firstLineChars="300"/>
      </w:pPr>
      <w:r>
        <w:t>5.</w:t>
      </w:r>
      <w:r>
        <w:tab/>
      </w:r>
      <w:r>
        <w:t>are known to have purchased gold from high-risk countries/regions in the past 12 months</w:t>
      </w:r>
    </w:p>
    <w:p w14:paraId="4AF73F83">
      <w:pPr>
        <w:pStyle w:val="20"/>
        <w:numPr>
          <w:ilvl w:val="0"/>
          <w:numId w:val="9"/>
        </w:numPr>
        <w:spacing w:line="520" w:lineRule="exact"/>
        <w:ind w:firstLineChars="0"/>
      </w:pPr>
      <w:r>
        <w:rPr>
          <w:rFonts w:hint="eastAsia"/>
        </w:rPr>
        <w:t>与供应链中的交易方或对手方之间有重要且无法解释的运输路线</w:t>
      </w:r>
      <w:r>
        <w:t xml:space="preserve"> </w:t>
      </w:r>
    </w:p>
    <w:p w14:paraId="0A4C6B18">
      <w:pPr>
        <w:spacing w:line="520" w:lineRule="exact"/>
        <w:ind w:firstLine="630" w:firstLineChars="300"/>
      </w:pPr>
      <w:r>
        <w:t>6.</w:t>
      </w:r>
      <w:r>
        <w:tab/>
      </w:r>
      <w:r>
        <w:t>have important and unexplainable transportation routes with suppliers or counterparties in the supply chain</w:t>
      </w:r>
    </w:p>
    <w:p w14:paraId="30B53DC7">
      <w:pPr>
        <w:spacing w:line="520" w:lineRule="exact"/>
      </w:pPr>
      <w:r>
        <w:rPr>
          <w:rFonts w:hint="eastAsia"/>
        </w:rPr>
        <w:t>基于物料类型的风险，再生（回收）金：</w:t>
      </w:r>
    </w:p>
    <w:p w14:paraId="340FCEC4">
      <w:pPr>
        <w:spacing w:line="520" w:lineRule="exact"/>
      </w:pPr>
      <w:r>
        <w:t>Based on the risks of material type, regenerated (recycled) gold:</w:t>
      </w:r>
    </w:p>
    <w:p w14:paraId="5D7BF604">
      <w:pPr>
        <w:pStyle w:val="20"/>
        <w:numPr>
          <w:ilvl w:val="0"/>
          <w:numId w:val="10"/>
        </w:numPr>
        <w:spacing w:line="520" w:lineRule="exact"/>
        <w:ind w:firstLineChars="0"/>
      </w:pPr>
      <w:r>
        <w:rPr>
          <w:rFonts w:hint="eastAsia"/>
        </w:rPr>
        <w:t>来自具有高风险供应链的中间精炼厂或交易商或从具有高风险供应链的中间精炼厂采购的交易对手方</w:t>
      </w:r>
    </w:p>
    <w:p w14:paraId="7799D5DC">
      <w:pPr>
        <w:spacing w:line="520" w:lineRule="exact"/>
      </w:pPr>
      <w:r>
        <w:t>1.</w:t>
      </w:r>
      <w:r>
        <w:tab/>
      </w:r>
      <w:r>
        <w:t>comes from intermediate refineries or dealers with high risk supply chain or counterparties purchased from intermediate refineries with high risk supply chain.</w:t>
      </w:r>
    </w:p>
    <w:p w14:paraId="63AE5407">
      <w:pPr>
        <w:spacing w:line="520" w:lineRule="exact"/>
      </w:pPr>
      <w:r>
        <w:rPr>
          <w:rFonts w:hint="eastAsia" w:ascii="仿宋" w:hAnsi="仿宋" w:eastAsia="仿宋"/>
        </w:rPr>
        <w:t>7.1</w:t>
      </w:r>
      <w:r>
        <w:rPr>
          <w:rFonts w:hint="eastAsia"/>
        </w:rPr>
        <w:t>供应链调查和风险评估</w:t>
      </w:r>
    </w:p>
    <w:p w14:paraId="31DA7B2B">
      <w:pPr>
        <w:spacing w:line="520" w:lineRule="exact"/>
      </w:pPr>
      <w:r>
        <w:rPr>
          <w:rFonts w:hint="eastAsia"/>
        </w:rPr>
        <w:t xml:space="preserve">7.1 Investigation and risk assessment of </w:t>
      </w:r>
      <w:r>
        <w:t>the supply chain</w:t>
      </w:r>
    </w:p>
    <w:p w14:paraId="25B3E64E">
      <w:pPr>
        <w:spacing w:line="520" w:lineRule="exact"/>
      </w:pPr>
      <w:r>
        <w:rPr>
          <w:rFonts w:hint="eastAsia"/>
        </w:rPr>
        <w:t>公司通过以下措施对供应链进行尽职调查：</w:t>
      </w:r>
    </w:p>
    <w:p w14:paraId="01971555">
      <w:pPr>
        <w:spacing w:line="520" w:lineRule="exact"/>
      </w:pPr>
      <w:r>
        <w:rPr>
          <w:rFonts w:hint="eastAsia"/>
        </w:rPr>
        <w:t xml:space="preserve">The company conducts the </w:t>
      </w:r>
      <w:r>
        <w:t>due diligence th</w:t>
      </w:r>
      <w:r>
        <w:rPr>
          <w:rFonts w:hint="eastAsia"/>
        </w:rPr>
        <w:t>rough the following measures:</w:t>
      </w:r>
    </w:p>
    <w:p w14:paraId="1C1A0CF0">
      <w:pPr>
        <w:spacing w:line="520" w:lineRule="exact"/>
      </w:pPr>
      <w:r>
        <w:rPr>
          <w:rFonts w:hint="eastAsia"/>
        </w:rPr>
        <w:t>(</w:t>
      </w:r>
      <w:r>
        <w:t>1</w:t>
      </w:r>
      <w:r>
        <w:rPr>
          <w:rFonts w:hint="eastAsia"/>
        </w:rPr>
        <w:t>)资质验证。黄金冶炼公司对于所有供应商均进行供应链的尽职管理调查，</w:t>
      </w:r>
      <w:r>
        <w:t>填写</w:t>
      </w:r>
      <w:r>
        <w:rPr>
          <w:rFonts w:hint="eastAsia"/>
        </w:rPr>
        <w:t>KYC问卷，在进行合作前要求合作方提供符合LBMA供应商要求的相关资质证明文件。</w:t>
      </w:r>
    </w:p>
    <w:p w14:paraId="2E6F095D">
      <w:pPr>
        <w:spacing w:line="520" w:lineRule="exact"/>
        <w:rPr>
          <w:rFonts w:ascii="仿宋" w:hAnsi="仿宋"/>
        </w:rPr>
      </w:pPr>
      <w:r>
        <w:rPr>
          <w:rFonts w:hint="eastAsia"/>
        </w:rPr>
        <w:t>(1) Verify the qualification. In terms of all suppliers, the Company conducts the due</w:t>
      </w:r>
      <w:r>
        <w:t xml:space="preserve"> </w:t>
      </w:r>
      <w:r>
        <w:rPr>
          <w:rFonts w:hint="eastAsia"/>
        </w:rPr>
        <w:t xml:space="preserve">diligence management and </w:t>
      </w:r>
      <w:r>
        <w:t>investigation</w:t>
      </w:r>
      <w:r>
        <w:rPr>
          <w:rFonts w:hint="eastAsia"/>
        </w:rPr>
        <w:t xml:space="preserve"> of the </w:t>
      </w:r>
      <w:r>
        <w:t>supply chain</w:t>
      </w:r>
      <w:r>
        <w:rPr>
          <w:rFonts w:hint="eastAsia"/>
        </w:rPr>
        <w:t xml:space="preserve">, fill KYC </w:t>
      </w:r>
      <w:r>
        <w:rPr>
          <w:rFonts w:hint="eastAsia"/>
          <w:bCs/>
        </w:rPr>
        <w:t>questionnaire</w:t>
      </w:r>
      <w:r>
        <w:rPr>
          <w:rFonts w:hint="eastAsia"/>
        </w:rPr>
        <w:t xml:space="preserve">. Before the cooperation, the </w:t>
      </w:r>
      <w:r>
        <w:t>coopera</w:t>
      </w:r>
      <w:r>
        <w:rPr>
          <w:rFonts w:hint="eastAsia"/>
        </w:rPr>
        <w:t>ti</w:t>
      </w:r>
      <w:r>
        <w:t>on</w:t>
      </w:r>
      <w:r>
        <w:rPr>
          <w:rFonts w:hint="eastAsia"/>
        </w:rPr>
        <w:t xml:space="preserve"> party should provide the r</w:t>
      </w:r>
      <w:r>
        <w:t>elevant qualification documents</w:t>
      </w:r>
      <w:r>
        <w:rPr>
          <w:rFonts w:hint="eastAsia"/>
        </w:rPr>
        <w:t>.</w:t>
      </w:r>
    </w:p>
    <w:p w14:paraId="74C70046">
      <w:pPr>
        <w:spacing w:line="520" w:lineRule="exact"/>
      </w:pPr>
      <w:r>
        <w:rPr>
          <w:rFonts w:hint="eastAsia"/>
        </w:rPr>
        <w:t>（2）建立供应商档案。对供应商基本情况、股东信息、提供原料类型及产地、运输方式、中转地、计划精炼贵金属类型、与其供应商结算方式、其供应商概况以及供应商ESG、供应链强迫劳动风险等信息进行调查，并尽可能地将供应链调查向供应商的上游延伸，最终确定其风险等级，对于涉及零容忍和高风险的交易方拒绝合作。</w:t>
      </w:r>
    </w:p>
    <w:p w14:paraId="11626A91">
      <w:pPr>
        <w:spacing w:line="520" w:lineRule="exact"/>
      </w:pPr>
      <w:r>
        <w:rPr>
          <w:rFonts w:hint="eastAsia"/>
        </w:rPr>
        <w:t xml:space="preserve">(2) Establish the files of suppliers. The specific investigation should be conducted for the basic information of suppliers, the </w:t>
      </w:r>
      <w:r>
        <w:t>shareholder information</w:t>
      </w:r>
      <w:r>
        <w:rPr>
          <w:rFonts w:hint="eastAsia"/>
        </w:rPr>
        <w:t xml:space="preserve">, the types and </w:t>
      </w:r>
      <w:r>
        <w:t>place</w:t>
      </w:r>
      <w:r>
        <w:rPr>
          <w:rFonts w:hint="eastAsia"/>
        </w:rPr>
        <w:t>s</w:t>
      </w:r>
      <w:r>
        <w:t xml:space="preserve"> of origin</w:t>
      </w:r>
      <w:r>
        <w:rPr>
          <w:rFonts w:hint="eastAsia"/>
        </w:rPr>
        <w:t xml:space="preserve"> of the provided raw materials, the types of p</w:t>
      </w:r>
      <w:r>
        <w:t>lanned</w:t>
      </w:r>
      <w:r>
        <w:rPr>
          <w:rFonts w:hint="eastAsia"/>
        </w:rPr>
        <w:t xml:space="preserve"> refined </w:t>
      </w:r>
      <w:r>
        <w:t>precious metal</w:t>
      </w:r>
      <w:r>
        <w:rPr>
          <w:rFonts w:hint="eastAsia"/>
        </w:rPr>
        <w:t xml:space="preserve">s, the settlement means with suppliers, the </w:t>
      </w:r>
      <w:r>
        <w:t>general situation</w:t>
      </w:r>
      <w:r>
        <w:rPr>
          <w:rFonts w:hint="eastAsia"/>
        </w:rPr>
        <w:t xml:space="preserve"> of suppliers and other information such as ESG and t</w:t>
      </w:r>
      <w:r>
        <w:t>he risk of forced labor in the supply chain</w:t>
      </w:r>
      <w:r>
        <w:rPr>
          <w:rFonts w:hint="eastAsia"/>
        </w:rPr>
        <w:t xml:space="preserve">. In addition, the </w:t>
      </w:r>
      <w:r>
        <w:t>investigation</w:t>
      </w:r>
      <w:r>
        <w:rPr>
          <w:rFonts w:hint="eastAsia"/>
        </w:rPr>
        <w:t xml:space="preserve"> of </w:t>
      </w:r>
      <w:r>
        <w:t>supply chain</w:t>
      </w:r>
      <w:r>
        <w:rPr>
          <w:rFonts w:hint="eastAsia"/>
        </w:rPr>
        <w:t xml:space="preserve"> should be extended to the u</w:t>
      </w:r>
      <w:r>
        <w:t>pstream of suppliers</w:t>
      </w:r>
      <w:r>
        <w:rPr>
          <w:rFonts w:hint="eastAsia"/>
        </w:rPr>
        <w:t xml:space="preserve"> </w:t>
      </w:r>
      <w:r>
        <w:t>as much as possible</w:t>
      </w:r>
      <w:r>
        <w:rPr>
          <w:rFonts w:hint="eastAsia"/>
        </w:rPr>
        <w:t xml:space="preserve"> to finally determine the risk grade. In terms of suppliers </w:t>
      </w:r>
      <w:r>
        <w:t>involving</w:t>
      </w:r>
      <w:r>
        <w:rPr>
          <w:rFonts w:hint="eastAsia"/>
        </w:rPr>
        <w:t xml:space="preserve"> h</w:t>
      </w:r>
      <w:r>
        <w:t>igh risk standard</w:t>
      </w:r>
      <w:r>
        <w:rPr>
          <w:rFonts w:hint="eastAsia"/>
        </w:rPr>
        <w:t>, the cooperation should be terminated.</w:t>
      </w:r>
    </w:p>
    <w:p w14:paraId="079EF267">
      <w:pPr>
        <w:spacing w:line="520" w:lineRule="exact"/>
      </w:pPr>
      <w:r>
        <w:rPr>
          <w:rFonts w:hint="eastAsia"/>
        </w:rPr>
        <w:t>（3）建立原料台账。对供应商每批次来料的原料类型、</w:t>
      </w:r>
      <w:r>
        <w:t>移交</w:t>
      </w:r>
      <w:r>
        <w:rPr>
          <w:rFonts w:hint="eastAsia"/>
        </w:rPr>
        <w:t>日期、重量、成色</w:t>
      </w:r>
      <w:r>
        <w:t>、货款支付记录</w:t>
      </w:r>
      <w:r>
        <w:rPr>
          <w:rFonts w:hint="eastAsia"/>
        </w:rPr>
        <w:t>进行登记。</w:t>
      </w:r>
    </w:p>
    <w:p w14:paraId="77C615F5">
      <w:pPr>
        <w:spacing w:line="520" w:lineRule="exact"/>
        <w:rPr>
          <w:rFonts w:ascii="仿宋" w:hAnsi="仿宋"/>
        </w:rPr>
      </w:pPr>
      <w:r>
        <w:rPr>
          <w:rFonts w:hint="eastAsia"/>
        </w:rPr>
        <w:t xml:space="preserve">(3) Establish the </w:t>
      </w:r>
      <w:r>
        <w:t>register book</w:t>
      </w:r>
      <w:r>
        <w:rPr>
          <w:rFonts w:hint="eastAsia"/>
        </w:rPr>
        <w:t xml:space="preserve"> of incoming materials. Conduct the investigation and registration on the type of material, delivery date, weight,</w:t>
      </w:r>
      <w:r>
        <w:t xml:space="preserve"> </w:t>
      </w:r>
      <w:r>
        <w:rPr>
          <w:rFonts w:hint="eastAsia"/>
        </w:rPr>
        <w:t>purity,</w:t>
      </w:r>
      <w:r>
        <w:t xml:space="preserve"> </w:t>
      </w:r>
      <w:r>
        <w:rPr>
          <w:rFonts w:hint="eastAsia"/>
        </w:rPr>
        <w:t xml:space="preserve">payment record of each </w:t>
      </w:r>
      <w:r>
        <w:t>batch of incoming materials</w:t>
      </w:r>
      <w:r>
        <w:rPr>
          <w:rFonts w:hint="eastAsia"/>
        </w:rPr>
        <w:t xml:space="preserve"> from suppliers.</w:t>
      </w:r>
    </w:p>
    <w:p w14:paraId="05454F38">
      <w:pPr>
        <w:spacing w:line="520" w:lineRule="exact"/>
      </w:pPr>
      <w:r>
        <w:t>（4）持续对供应商信息进行追踪调查。充分发挥网络作用，利用天眼查、</w:t>
      </w:r>
      <w:bookmarkStart w:id="4" w:name="OLE_LINK4"/>
      <w:r>
        <w:t>中国审判信息网</w:t>
      </w:r>
      <w:bookmarkEnd w:id="4"/>
      <w:r>
        <w:t>、IPE等网站对供应商资质情况、失信情况、诉讼情况、处罚情况进行查询。</w:t>
      </w:r>
      <w:r>
        <w:rPr>
          <w:rFonts w:hint="eastAsia"/>
        </w:rPr>
        <w:t>2025</w:t>
      </w:r>
      <w:r>
        <w:t>年我公司对所有供应商合计</w:t>
      </w:r>
      <w:r>
        <w:rPr>
          <w:rFonts w:hint="eastAsia"/>
        </w:rPr>
        <w:t>35</w:t>
      </w:r>
      <w:r>
        <w:t>家进行了专项尽职</w:t>
      </w:r>
      <w:r>
        <w:rPr>
          <w:rFonts w:hint="eastAsia"/>
        </w:rPr>
        <w:t>信息收集</w:t>
      </w:r>
      <w:r>
        <w:t>，内容包括：供应商概况、资质信息、来料</w:t>
      </w:r>
      <w:r>
        <w:rPr>
          <w:rFonts w:hint="eastAsia"/>
        </w:rPr>
        <w:t>类型</w:t>
      </w:r>
      <w:r>
        <w:t>、上游供应商名单、原料产地及品种等，所有供应商追踪到最终受益人</w:t>
      </w:r>
      <w:r>
        <w:rPr>
          <w:rFonts w:hint="eastAsia"/>
        </w:rPr>
        <w:t>，环境/气候，反洗钱反恐怖主义融资等信息，并了解供应链中的其它精炼厂尽职调查相关的政策与体系。</w:t>
      </w:r>
    </w:p>
    <w:p w14:paraId="4EFCCA85">
      <w:pPr>
        <w:spacing w:line="520" w:lineRule="exact"/>
      </w:pPr>
      <w:r>
        <w:rPr>
          <w:rFonts w:hint="eastAsia"/>
        </w:rPr>
        <w:t>(4) It is required to c</w:t>
      </w:r>
      <w:r>
        <w:t>ontinuous</w:t>
      </w:r>
      <w:r>
        <w:rPr>
          <w:rFonts w:hint="eastAsia"/>
        </w:rPr>
        <w:t>ly</w:t>
      </w:r>
      <w:r>
        <w:t xml:space="preserve"> track </w:t>
      </w:r>
      <w:r>
        <w:rPr>
          <w:rFonts w:hint="eastAsia"/>
        </w:rPr>
        <w:t xml:space="preserve">and investigate </w:t>
      </w:r>
      <w:r>
        <w:t>supplier information</w:t>
      </w:r>
      <w:r>
        <w:rPr>
          <w:rFonts w:hint="eastAsia"/>
        </w:rPr>
        <w:t>. T</w:t>
      </w:r>
      <w:r>
        <w:t>he role of the network</w:t>
      </w:r>
      <w:r>
        <w:rPr>
          <w:rFonts w:hint="eastAsia"/>
        </w:rPr>
        <w:t xml:space="preserve"> should be </w:t>
      </w:r>
      <w:r>
        <w:t>given full play</w:t>
      </w:r>
      <w:r>
        <w:rPr>
          <w:rFonts w:hint="eastAsia"/>
        </w:rPr>
        <w:t xml:space="preserve">, and websites such as TianYanCha, ChinaTrial Online and IPE </w:t>
      </w:r>
      <w:r>
        <w:t>should be used to check the qualification, trust-breaking, litigation and punishment</w:t>
      </w:r>
      <w:r>
        <w:rPr>
          <w:rFonts w:hint="eastAsia"/>
        </w:rPr>
        <w:t xml:space="preserve"> conditions of suppliers. O</w:t>
      </w:r>
      <w:r>
        <w:t xml:space="preserve">ur </w:t>
      </w:r>
      <w:r>
        <w:rPr>
          <w:rFonts w:hint="eastAsia"/>
        </w:rPr>
        <w:t>C</w:t>
      </w:r>
      <w:r>
        <w:t xml:space="preserve">ompany conducted special due diligence on </w:t>
      </w:r>
      <w:r>
        <w:rPr>
          <w:rFonts w:hint="eastAsia"/>
        </w:rPr>
        <w:t>35</w:t>
      </w:r>
      <w:r>
        <w:t xml:space="preserve"> suppliers in total</w:t>
      </w:r>
      <w:r>
        <w:rPr>
          <w:rFonts w:hint="eastAsia"/>
        </w:rPr>
        <w:t xml:space="preserve"> in 2025, including </w:t>
      </w:r>
      <w:r>
        <w:t>supplier profile</w:t>
      </w:r>
      <w:r>
        <w:rPr>
          <w:rFonts w:hint="eastAsia"/>
        </w:rPr>
        <w:t xml:space="preserve">, qualification information, </w:t>
      </w:r>
      <w:r>
        <w:t>incoming material</w:t>
      </w:r>
      <w:r>
        <w:rPr>
          <w:rFonts w:hint="eastAsia"/>
        </w:rPr>
        <w:t xml:space="preserve"> types and ,</w:t>
      </w:r>
      <w:r>
        <w:t xml:space="preserve"> upstream supplier list</w:t>
      </w:r>
      <w:r>
        <w:rPr>
          <w:rFonts w:hint="eastAsia"/>
        </w:rPr>
        <w:t>, r</w:t>
      </w:r>
      <w:r>
        <w:t>aw material origin and variety</w:t>
      </w:r>
      <w:r>
        <w:rPr>
          <w:rFonts w:hint="eastAsia"/>
        </w:rPr>
        <w:t xml:space="preserve">, etc. </w:t>
      </w:r>
      <w:r>
        <w:t xml:space="preserve">All suppliers </w:t>
      </w:r>
      <w:r>
        <w:rPr>
          <w:rFonts w:hint="eastAsia"/>
        </w:rPr>
        <w:t xml:space="preserve">have been </w:t>
      </w:r>
      <w:r>
        <w:t xml:space="preserve">tracked </w:t>
      </w:r>
      <w:r>
        <w:rPr>
          <w:rFonts w:hint="eastAsia"/>
        </w:rPr>
        <w:t xml:space="preserve">and collected </w:t>
      </w:r>
      <w:r>
        <w:t xml:space="preserve"> </w:t>
      </w:r>
      <w:r>
        <w:rPr>
          <w:rFonts w:hint="eastAsia"/>
        </w:rPr>
        <w:t xml:space="preserve">the information of </w:t>
      </w:r>
      <w:r>
        <w:t>the final beneficiaries</w:t>
      </w:r>
      <w:r>
        <w:rPr>
          <w:rFonts w:hint="eastAsia"/>
        </w:rPr>
        <w:t xml:space="preserve">, </w:t>
      </w:r>
      <w:r>
        <w:t>environment</w:t>
      </w:r>
      <w:r>
        <w:rPr>
          <w:rFonts w:hint="eastAsia"/>
        </w:rPr>
        <w:t xml:space="preserve">/climate, </w:t>
      </w:r>
      <w:r>
        <w:t>anti-money laundering and anti-terrorist financing, etc. Learn</w:t>
      </w:r>
      <w:r>
        <w:rPr>
          <w:rFonts w:hint="eastAsia"/>
        </w:rPr>
        <w:t xml:space="preserve"> about due diligence policies and systems for other refineries in the supply chain.</w:t>
      </w:r>
    </w:p>
    <w:p w14:paraId="52F22C7A">
      <w:pPr>
        <w:spacing w:line="520" w:lineRule="exact"/>
      </w:pPr>
      <w:r>
        <w:rPr>
          <w:rFonts w:hint="eastAsia"/>
        </w:rPr>
        <w:t>（</w:t>
      </w:r>
      <w:r>
        <w:t>5）</w:t>
      </w:r>
      <w:r>
        <w:rPr>
          <w:rFonts w:hint="eastAsia"/>
        </w:rPr>
        <w:t>根据收集到的供应商和供应链的信息，识别出公司供应链中涉及的国家和地区为：中国、老挝、智利、西班牙，根据</w:t>
      </w:r>
      <w:r>
        <w:t>CAHRAs识别流程，这些国家均不属于CAHRAs.</w:t>
      </w:r>
      <w:r>
        <w:rPr>
          <w:rFonts w:hint="eastAsia"/>
        </w:rPr>
        <w:t>同时，结合收集的</w:t>
      </w:r>
      <w:r>
        <w:t>KYC信息，</w:t>
      </w:r>
      <w:r>
        <w:rPr>
          <w:rFonts w:hint="eastAsia"/>
        </w:rPr>
        <w:t>完成了每个交易方的《供应链风险评估表》、供应链强迫劳动内部调查与外部供应链调查，评估记录显示未识别出公司黄金供应链中有任何的零容忍风险及供应链强迫劳动风险。</w:t>
      </w:r>
    </w:p>
    <w:p w14:paraId="2FA12E32">
      <w:pPr>
        <w:spacing w:line="520" w:lineRule="exact"/>
      </w:pPr>
      <w:r>
        <w:t xml:space="preserve">(5) </w:t>
      </w:r>
      <w:r>
        <w:rPr>
          <w:rFonts w:hint="eastAsia"/>
        </w:rPr>
        <w:t>Based on the collected information about suppliers and the supply chain, the countries and regions involved in the company’s supply chain have been identified as China, Laos, Chile</w:t>
      </w:r>
      <w:r>
        <w:t xml:space="preserve"> and </w:t>
      </w:r>
      <w:r>
        <w:rPr>
          <w:rFonts w:hint="eastAsia"/>
        </w:rPr>
        <w:t>Spain. According to the CAHRAs identification process, none of these countries is classified as a CAHRA. Additionally, leveraging the gathered KYC information, a Supply Chain Risk Assessment Form has been completed for each trading party, along with an internal investigation on forced labor in the supply chain and an external supply chain survey. The assessment records indicate that no zero-tolerance risks or forced labor risks have been identified in the company’s gold supply chain.</w:t>
      </w:r>
    </w:p>
    <w:p w14:paraId="557600E4">
      <w:pPr>
        <w:spacing w:line="520" w:lineRule="exact"/>
      </w:pPr>
      <w:r>
        <w:rPr>
          <w:rFonts w:hint="eastAsia"/>
        </w:rPr>
        <w:t>8.1</w:t>
      </w:r>
      <w:r>
        <w:t xml:space="preserve"> </w:t>
      </w:r>
      <w:r>
        <w:rPr>
          <w:rFonts w:hint="eastAsia"/>
        </w:rPr>
        <w:t>加强型尽职调查</w:t>
      </w:r>
    </w:p>
    <w:p w14:paraId="2B0D04AB">
      <w:pPr>
        <w:spacing w:line="520" w:lineRule="exact"/>
        <w:rPr>
          <w:rFonts w:hint="eastAsia"/>
        </w:rPr>
      </w:pPr>
      <w:r>
        <w:rPr>
          <w:rFonts w:hint="eastAsia"/>
        </w:rPr>
        <w:t>公司规定，当公司黄金供应链识别出任何的零容忍风险时，需立即与该交易方终止现有的合作关系；对于识别出的高风险，公司会进一步要求交易方提供以下信息，并通过现场或者线上的形式对交易方进行拜访，即加强型尽职调查，以确定其供应链中是否存在高风险。当供应商被识别为高风险时，我公司将在3个月内启动强化尽职调查，其核心措施包括但不限于：进行现场或视频会议核查、访谈管理层与员工、审查其生产记录与供应链数据等。EDD的结果将形成报告，并用于制定风险缓解计划。因未识别出任何高风险区域，高风险供应商和高风险材料，因此无需启动加强型尽职调查流程。</w:t>
      </w:r>
    </w:p>
    <w:p w14:paraId="2D78E5CB">
      <w:pPr>
        <w:spacing w:line="520" w:lineRule="exact"/>
      </w:pPr>
      <w:r>
        <w:rPr>
          <w:rFonts w:hint="eastAsia"/>
        </w:rPr>
        <w:t>8.1</w:t>
      </w:r>
      <w:r>
        <w:t xml:space="preserve"> Enhanced Due Diligence</w:t>
      </w:r>
    </w:p>
    <w:p w14:paraId="12147624">
      <w:pPr>
        <w:spacing w:line="520" w:lineRule="exact"/>
        <w:rPr>
          <w:rFonts w:hint="eastAsia"/>
        </w:rPr>
      </w:pPr>
      <w:r>
        <w:t>The Company stipulates that in case of any zero-tolerance risk of the gold supply chain of the Company, the existing partnership with the supplier must be terminated immediately. For the identified high risks, the Company will further request the counterparty to provide the following information and use the</w:t>
      </w:r>
      <w:r>
        <w:rPr>
          <w:i/>
          <w:iCs/>
        </w:rPr>
        <w:t xml:space="preserve"> On-site Visit Checklist</w:t>
      </w:r>
      <w:r>
        <w:t xml:space="preserve"> to visit the supplier in the form of on-site or online, that is, enhanced due diligence, so as to determine whether there is high risk in its supply chain. </w:t>
      </w:r>
      <w:r>
        <w:rPr>
          <w:rFonts w:hint="eastAsia"/>
        </w:rPr>
        <w:t xml:space="preserve">When a supplier is identified as high-risk, our company will initiate an enhanced due diligence (EDD) process within three months. The core measures of this process include, but are not limited to: conducting on-site or video conference verifications, interviewing management and employees, and reviewing their production records and supply chain data, etc. The results of the EDD will be compiled into a report and used to formulate a risk mitigation plan. </w:t>
      </w:r>
      <w:r>
        <w:t xml:space="preserve">As </w:t>
      </w:r>
      <w:r>
        <w:rPr>
          <w:b w:val="0"/>
          <w:bCs w:val="0"/>
        </w:rPr>
        <w:t>no high-risk areas, high-risk suppliers, or high-risk materials were identified during the assessment</w:t>
      </w:r>
      <w:r>
        <w:t xml:space="preserve">, it was </w:t>
      </w:r>
      <w:r>
        <w:rPr>
          <w:b w:val="0"/>
          <w:bCs w:val="0"/>
        </w:rPr>
        <w:t>not necessary to initiate the enhanced due diligence process</w:t>
      </w:r>
      <w:r>
        <w:t>.</w:t>
      </w:r>
    </w:p>
    <w:p w14:paraId="3604EAF1">
      <w:pPr>
        <w:spacing w:line="520" w:lineRule="exact"/>
      </w:pPr>
      <w:r>
        <w:rPr>
          <w:rFonts w:hint="eastAsia"/>
        </w:rPr>
        <w:t>提供的资料包括：</w:t>
      </w:r>
    </w:p>
    <w:p w14:paraId="75B5EB4D">
      <w:pPr>
        <w:spacing w:line="520" w:lineRule="exact"/>
      </w:pPr>
      <w:r>
        <w:rPr>
          <w:rFonts w:hint="eastAsia"/>
        </w:rPr>
        <w:t>The provided materials include:</w:t>
      </w:r>
    </w:p>
    <w:p w14:paraId="5F10DB50">
      <w:pPr>
        <w:spacing w:line="520" w:lineRule="exact"/>
      </w:pPr>
      <w:r>
        <w:rPr>
          <w:rFonts w:hint="eastAsia"/>
        </w:rPr>
        <w:t>(</w:t>
      </w:r>
      <w:r>
        <w:t>1</w:t>
      </w:r>
      <w:r>
        <w:rPr>
          <w:rFonts w:hint="eastAsia"/>
        </w:rPr>
        <w:t>)提供证明不存在有关矿产金、再生金提取、运输或贸易的系统性或广泛人权侵犯行为的政府性文件，如供应商所在地相关公安或商务部门出具的合法性证明等；</w:t>
      </w:r>
    </w:p>
    <w:p w14:paraId="24BA6CF2">
      <w:pPr>
        <w:spacing w:line="520" w:lineRule="exact"/>
        <w:rPr>
          <w:rFonts w:ascii="仿宋" w:hAnsi="仿宋"/>
        </w:rPr>
      </w:pPr>
      <w:r>
        <w:rPr>
          <w:rFonts w:hint="eastAsia"/>
        </w:rPr>
        <w:t>(1) The g</w:t>
      </w:r>
      <w:r>
        <w:t>overnment document</w:t>
      </w:r>
      <w:r>
        <w:rPr>
          <w:rFonts w:hint="eastAsia"/>
        </w:rPr>
        <w:t>s proving that s</w:t>
      </w:r>
      <w:r>
        <w:t>ystematic or widespread</w:t>
      </w:r>
      <w:r>
        <w:rPr>
          <w:rFonts w:hint="eastAsia"/>
        </w:rPr>
        <w:t xml:space="preserve"> </w:t>
      </w:r>
      <w:r>
        <w:t>violations</w:t>
      </w:r>
      <w:r>
        <w:rPr>
          <w:rFonts w:hint="eastAsia"/>
        </w:rPr>
        <w:t xml:space="preserve"> of </w:t>
      </w:r>
      <w:r>
        <w:t>human rights</w:t>
      </w:r>
      <w:r>
        <w:rPr>
          <w:rFonts w:hint="eastAsia"/>
        </w:rPr>
        <w:t xml:space="preserve"> relevant to the extraction, t</w:t>
      </w:r>
      <w:r>
        <w:t>ransport</w:t>
      </w:r>
      <w:r>
        <w:rPr>
          <w:rFonts w:hint="eastAsia"/>
        </w:rPr>
        <w:t xml:space="preserve">ation </w:t>
      </w:r>
      <w:r>
        <w:t>or trade</w:t>
      </w:r>
      <w:r>
        <w:rPr>
          <w:rFonts w:hint="eastAsia"/>
        </w:rPr>
        <w:t xml:space="preserve"> of m</w:t>
      </w:r>
      <w:r>
        <w:t>ine</w:t>
      </w:r>
      <w:r>
        <w:rPr>
          <w:rFonts w:hint="eastAsia"/>
        </w:rPr>
        <w:t>d</w:t>
      </w:r>
      <w:r>
        <w:t xml:space="preserve"> or recycled gold</w:t>
      </w:r>
      <w:r>
        <w:rPr>
          <w:rFonts w:hint="eastAsia"/>
        </w:rPr>
        <w:t>, such as legal c</w:t>
      </w:r>
      <w:r>
        <w:t>ertificate</w:t>
      </w:r>
      <w:r>
        <w:rPr>
          <w:rFonts w:hint="eastAsia"/>
        </w:rPr>
        <w:t xml:space="preserve"> issued by </w:t>
      </w:r>
      <w:r>
        <w:t>relevant public security or commercial department</w:t>
      </w:r>
      <w:r>
        <w:rPr>
          <w:rFonts w:hint="eastAsia"/>
        </w:rPr>
        <w:t xml:space="preserve">s at the place where </w:t>
      </w:r>
      <w:r>
        <w:t>supplier</w:t>
      </w:r>
      <w:r>
        <w:rPr>
          <w:rFonts w:hint="eastAsia"/>
        </w:rPr>
        <w:t>s are</w:t>
      </w:r>
      <w:r>
        <w:t xml:space="preserve"> located</w:t>
      </w:r>
      <w:r>
        <w:rPr>
          <w:rFonts w:hint="eastAsia"/>
        </w:rPr>
        <w:t xml:space="preserve"> and others;</w:t>
      </w:r>
    </w:p>
    <w:p w14:paraId="1EF2546F">
      <w:pPr>
        <w:spacing w:line="520" w:lineRule="exact"/>
      </w:pPr>
      <w:r>
        <w:rPr>
          <w:rFonts w:hint="eastAsia"/>
        </w:rPr>
        <w:t>（2）提供并未向非法武装组织提供直接或间接支持的证明文件；</w:t>
      </w:r>
    </w:p>
    <w:p w14:paraId="519DFBF7">
      <w:pPr>
        <w:spacing w:line="520" w:lineRule="exact"/>
        <w:rPr>
          <w:rFonts w:ascii="仿宋" w:hAnsi="仿宋"/>
        </w:rPr>
      </w:pPr>
      <w:r>
        <w:rPr>
          <w:rFonts w:hint="eastAsia"/>
        </w:rPr>
        <w:t xml:space="preserve">(2) The </w:t>
      </w:r>
      <w:r>
        <w:t>certificate</w:t>
      </w:r>
      <w:r>
        <w:rPr>
          <w:rFonts w:hint="eastAsia"/>
        </w:rPr>
        <w:t xml:space="preserve"> documents proving that direct or indirect support for the i</w:t>
      </w:r>
      <w:r>
        <w:t>llegal armed organization</w:t>
      </w:r>
      <w:r>
        <w:rPr>
          <w:rFonts w:hint="eastAsia"/>
        </w:rPr>
        <w:t xml:space="preserve"> is not provided;</w:t>
      </w:r>
    </w:p>
    <w:p w14:paraId="34D8242C">
      <w:pPr>
        <w:spacing w:line="520" w:lineRule="exact"/>
      </w:pPr>
      <w:r>
        <w:rPr>
          <w:rFonts w:hint="eastAsia"/>
        </w:rPr>
        <w:t>（3）提供并未通过欺诈掩盖矿产金或再生金的原产地证明文件，如相关政府部门出具的原产地证明；</w:t>
      </w:r>
    </w:p>
    <w:p w14:paraId="62F085F9">
      <w:pPr>
        <w:spacing w:line="520" w:lineRule="exact"/>
      </w:pPr>
      <w:r>
        <w:rPr>
          <w:rFonts w:hint="eastAsia"/>
        </w:rPr>
        <w:t xml:space="preserve">(3) The </w:t>
      </w:r>
      <w:r>
        <w:t>certificate documents of place of origin</w:t>
      </w:r>
      <w:r>
        <w:rPr>
          <w:rFonts w:hint="eastAsia"/>
        </w:rPr>
        <w:t xml:space="preserve"> proving that </w:t>
      </w:r>
      <w:r>
        <w:t>mine</w:t>
      </w:r>
      <w:r>
        <w:rPr>
          <w:rFonts w:hint="eastAsia"/>
        </w:rPr>
        <w:t>d</w:t>
      </w:r>
      <w:r>
        <w:t xml:space="preserve"> or recycled gold</w:t>
      </w:r>
      <w:r>
        <w:rPr>
          <w:rFonts w:hint="eastAsia"/>
        </w:rPr>
        <w:t xml:space="preserve"> is not covered through frauds;</w:t>
      </w:r>
    </w:p>
    <w:p w14:paraId="40508111">
      <w:pPr>
        <w:spacing w:line="520" w:lineRule="exact"/>
      </w:pPr>
      <w:r>
        <w:rPr>
          <w:rFonts w:hint="eastAsia"/>
        </w:rPr>
        <w:t>（4）提供不存在洗钱或恐怖主义融资的证明文件；</w:t>
      </w:r>
    </w:p>
    <w:p w14:paraId="6B743A52">
      <w:pPr>
        <w:spacing w:line="520" w:lineRule="exact"/>
        <w:rPr>
          <w:rFonts w:ascii="仿宋" w:hAnsi="仿宋"/>
        </w:rPr>
      </w:pPr>
      <w:r>
        <w:rPr>
          <w:rFonts w:hint="eastAsia"/>
        </w:rPr>
        <w:t xml:space="preserve">(4) The </w:t>
      </w:r>
      <w:r>
        <w:t>certificate documents proving that</w:t>
      </w:r>
      <w:r>
        <w:rPr>
          <w:rFonts w:hint="eastAsia"/>
        </w:rPr>
        <w:t xml:space="preserve"> m</w:t>
      </w:r>
      <w:r>
        <w:t>oney laundering or terrorist financing</w:t>
      </w:r>
      <w:r>
        <w:rPr>
          <w:rFonts w:hint="eastAsia"/>
        </w:rPr>
        <w:t xml:space="preserve"> does not exist</w:t>
      </w:r>
    </w:p>
    <w:p w14:paraId="64EE5120">
      <w:pPr>
        <w:spacing w:line="520" w:lineRule="exact"/>
      </w:pPr>
      <w:r>
        <w:rPr>
          <w:rFonts w:hint="eastAsia"/>
        </w:rPr>
        <w:t>（5）提供国内小型矿山资质证明文件；</w:t>
      </w:r>
    </w:p>
    <w:p w14:paraId="25AB23B3">
      <w:pPr>
        <w:spacing w:line="520" w:lineRule="exact"/>
      </w:pPr>
      <w:r>
        <w:rPr>
          <w:rFonts w:hint="eastAsia"/>
        </w:rPr>
        <w:t xml:space="preserve">(5) </w:t>
      </w:r>
      <w:r>
        <w:t>Qualification certificate documents</w:t>
      </w:r>
      <w:r>
        <w:rPr>
          <w:rFonts w:hint="eastAsia"/>
        </w:rPr>
        <w:t xml:space="preserve"> of domestic </w:t>
      </w:r>
      <w:r>
        <w:t>small</w:t>
      </w:r>
      <w:r>
        <w:rPr>
          <w:rFonts w:hint="eastAsia"/>
        </w:rPr>
        <w:t xml:space="preserve"> mines;</w:t>
      </w:r>
    </w:p>
    <w:p w14:paraId="31855329">
      <w:pPr>
        <w:spacing w:line="520" w:lineRule="exact"/>
      </w:pPr>
      <w:r>
        <w:rPr>
          <w:rFonts w:hint="eastAsia"/>
        </w:rPr>
        <w:t>（6）提供能够证明开采黄金不是利用汞生产而得资料；</w:t>
      </w:r>
    </w:p>
    <w:p w14:paraId="62D40A28">
      <w:pPr>
        <w:spacing w:line="520" w:lineRule="exact"/>
      </w:pPr>
      <w:r>
        <w:rPr>
          <w:rFonts w:hint="eastAsia"/>
        </w:rPr>
        <w:t xml:space="preserve">(6) Materials proving that mined gold is not produced by using </w:t>
      </w:r>
      <w:r>
        <w:t>mercury</w:t>
      </w:r>
      <w:r>
        <w:rPr>
          <w:rFonts w:hint="eastAsia"/>
        </w:rPr>
        <w:t>;</w:t>
      </w:r>
    </w:p>
    <w:p w14:paraId="7B969E8F">
      <w:pPr>
        <w:spacing w:line="520" w:lineRule="exact"/>
      </w:pPr>
      <w:r>
        <w:rPr>
          <w:rFonts w:hint="eastAsia"/>
        </w:rPr>
        <w:t>（7）提供环境和可持续发展相关方针政策、制度文件以及通过有关部门环评报告；</w:t>
      </w:r>
    </w:p>
    <w:p w14:paraId="5C4DC1B8">
      <w:pPr>
        <w:spacing w:line="520" w:lineRule="exact"/>
      </w:pPr>
      <w:r>
        <w:rPr>
          <w:rFonts w:hint="eastAsia"/>
        </w:rPr>
        <w:t xml:space="preserve">(7) Relevant </w:t>
      </w:r>
      <w:r>
        <w:t>policies</w:t>
      </w:r>
      <w:r>
        <w:rPr>
          <w:rFonts w:hint="eastAsia"/>
        </w:rPr>
        <w:t xml:space="preserve"> and </w:t>
      </w:r>
      <w:r>
        <w:t>system document</w:t>
      </w:r>
      <w:r>
        <w:rPr>
          <w:rFonts w:hint="eastAsia"/>
        </w:rPr>
        <w:t>s to e</w:t>
      </w:r>
      <w:r>
        <w:t>nvironment and sustainable development</w:t>
      </w:r>
      <w:r>
        <w:rPr>
          <w:rFonts w:hint="eastAsia"/>
        </w:rPr>
        <w:t xml:space="preserve"> and the </w:t>
      </w:r>
      <w:r>
        <w:t>report</w:t>
      </w:r>
      <w:r>
        <w:rPr>
          <w:rFonts w:hint="eastAsia"/>
        </w:rPr>
        <w:t xml:space="preserve"> through EIA of relevant departments;</w:t>
      </w:r>
    </w:p>
    <w:p w14:paraId="2E0D8DBB">
      <w:pPr>
        <w:spacing w:line="520" w:lineRule="exact"/>
        <w:ind w:firstLine="210" w:firstLineChars="100"/>
        <w:jc w:val="left"/>
        <w:rPr>
          <w:rFonts w:ascii="Times New Roman" w:hAnsi="Times New Roman"/>
          <w:kern w:val="0"/>
        </w:rPr>
      </w:pPr>
      <w:r>
        <w:rPr>
          <w:rFonts w:hint="eastAsia" w:ascii="Times New Roman" w:hAnsi="Times New Roman"/>
          <w:kern w:val="0"/>
        </w:rPr>
        <w:t>8.2</w:t>
      </w:r>
      <w:r>
        <w:rPr>
          <w:rFonts w:ascii="Times New Roman" w:hAnsi="Times New Roman"/>
          <w:kern w:val="0"/>
        </w:rPr>
        <w:t>加强型尽职调查</w:t>
      </w:r>
      <w:r>
        <w:rPr>
          <w:rFonts w:hint="eastAsia" w:ascii="Times New Roman" w:hAnsi="Times New Roman"/>
          <w:kern w:val="0"/>
        </w:rPr>
        <w:t>实地考察应至少包括但不限于：</w:t>
      </w:r>
    </w:p>
    <w:p w14:paraId="59030943">
      <w:pPr>
        <w:spacing w:line="520" w:lineRule="exact"/>
        <w:ind w:firstLine="210" w:firstLineChars="100"/>
        <w:jc w:val="left"/>
        <w:rPr>
          <w:rFonts w:ascii="Calibri" w:hAnsi="Calibri"/>
          <w:kern w:val="2"/>
        </w:rPr>
      </w:pPr>
      <w:r>
        <w:rPr>
          <w:rFonts w:hint="eastAsia" w:ascii="Calibri" w:hAnsi="Calibri"/>
          <w:kern w:val="2"/>
        </w:rPr>
        <w:t>8.2 Enhanced due diligence on-site inspections shall include at least but not be limited to the following:</w:t>
      </w:r>
    </w:p>
    <w:p w14:paraId="6487305F">
      <w:pPr>
        <w:spacing w:line="520" w:lineRule="exact"/>
        <w:ind w:firstLine="210" w:firstLineChars="100"/>
        <w:jc w:val="left"/>
        <w:rPr>
          <w:rFonts w:ascii="Times New Roman" w:hAnsi="Times New Roman"/>
          <w:kern w:val="0"/>
        </w:rPr>
      </w:pPr>
      <w:r>
        <w:rPr>
          <w:rFonts w:hint="eastAsia" w:ascii="Times New Roman" w:hAnsi="Times New Roman"/>
          <w:kern w:val="0"/>
        </w:rPr>
        <w:t>8.3考察准备</w:t>
      </w:r>
    </w:p>
    <w:p w14:paraId="31578EF8">
      <w:pPr>
        <w:spacing w:line="520" w:lineRule="exact"/>
        <w:ind w:firstLine="210" w:firstLineChars="100"/>
        <w:jc w:val="left"/>
        <w:rPr>
          <w:rFonts w:ascii="Calibri" w:hAnsi="Calibri"/>
          <w:kern w:val="2"/>
        </w:rPr>
      </w:pPr>
      <w:r>
        <w:rPr>
          <w:rFonts w:hint="eastAsia" w:ascii="Calibri" w:hAnsi="Calibri"/>
          <w:kern w:val="2"/>
        </w:rPr>
        <w:t>8.3 Pre-inspection preparation</w:t>
      </w:r>
    </w:p>
    <w:p w14:paraId="07148D80">
      <w:pPr>
        <w:spacing w:line="520" w:lineRule="exact"/>
        <w:jc w:val="left"/>
        <w:rPr>
          <w:rFonts w:ascii="Times New Roman" w:hAnsi="Times New Roman"/>
          <w:kern w:val="0"/>
        </w:rPr>
      </w:pPr>
      <w:r>
        <w:rPr>
          <w:rFonts w:hint="eastAsia" w:ascii="Times New Roman" w:hAnsi="Times New Roman"/>
          <w:kern w:val="0"/>
        </w:rPr>
        <w:t>制定详细的考察计划，明确调查重点、行程安排与访谈对象清单。</w:t>
      </w:r>
    </w:p>
    <w:p w14:paraId="3A850CF7">
      <w:pPr>
        <w:spacing w:line="520" w:lineRule="exact"/>
        <w:jc w:val="left"/>
        <w:rPr>
          <w:rFonts w:ascii="Times New Roman" w:hAnsi="Times New Roman"/>
          <w:kern w:val="0"/>
        </w:rPr>
      </w:pPr>
      <w:r>
        <w:rPr>
          <w:rFonts w:hint="eastAsia" w:ascii="Times New Roman" w:hAnsi="Times New Roman"/>
          <w:kern w:val="0"/>
        </w:rPr>
        <w:t>提前搜集矿区或供应商的基本运营信息、股权结构、合规历史及公开负面舆情。</w:t>
      </w:r>
    </w:p>
    <w:p w14:paraId="1D4F32AE">
      <w:pPr>
        <w:spacing w:line="520" w:lineRule="exact"/>
        <w:ind w:firstLine="210" w:firstLineChars="100"/>
        <w:jc w:val="left"/>
        <w:rPr>
          <w:rFonts w:ascii="Calibri" w:hAnsi="Calibri"/>
          <w:kern w:val="2"/>
        </w:rPr>
      </w:pPr>
      <w:r>
        <w:rPr>
          <w:rFonts w:hint="eastAsia" w:ascii="Calibri" w:hAnsi="Calibri"/>
          <w:kern w:val="2"/>
        </w:rPr>
        <w:t xml:space="preserve">Develop a detailed inspection plan, specifying the key areas of investigation, the itinerary, and the list of interviewees.  </w:t>
      </w:r>
    </w:p>
    <w:p w14:paraId="0257F39D">
      <w:pPr>
        <w:spacing w:line="520" w:lineRule="exact"/>
        <w:ind w:firstLine="210" w:firstLineChars="100"/>
        <w:jc w:val="left"/>
        <w:rPr>
          <w:rFonts w:ascii="Calibri" w:hAnsi="Calibri"/>
          <w:kern w:val="2"/>
        </w:rPr>
      </w:pPr>
      <w:r>
        <w:rPr>
          <w:rFonts w:hint="eastAsia" w:ascii="Calibri" w:hAnsi="Calibri"/>
          <w:kern w:val="2"/>
        </w:rPr>
        <w:t>Collect in advance basic operational information, ownership structure, compliance history, and any publicly available negative publicity regarding the mine or supplier.</w:t>
      </w:r>
    </w:p>
    <w:p w14:paraId="03297C92">
      <w:pPr>
        <w:spacing w:line="520" w:lineRule="exact"/>
        <w:jc w:val="left"/>
        <w:rPr>
          <w:rFonts w:ascii="Times New Roman" w:hAnsi="Times New Roman"/>
          <w:kern w:val="0"/>
        </w:rPr>
      </w:pPr>
      <w:r>
        <w:rPr>
          <w:rFonts w:hint="eastAsia" w:ascii="Times New Roman" w:hAnsi="Times New Roman"/>
          <w:kern w:val="0"/>
        </w:rPr>
        <w:t>8.4 考察目标</w:t>
      </w:r>
    </w:p>
    <w:p w14:paraId="699C98CC">
      <w:pPr>
        <w:spacing w:line="520" w:lineRule="exact"/>
        <w:ind w:firstLine="210" w:firstLineChars="100"/>
        <w:jc w:val="left"/>
        <w:rPr>
          <w:rFonts w:ascii="Calibri" w:hAnsi="Calibri"/>
          <w:kern w:val="2"/>
        </w:rPr>
      </w:pPr>
      <w:r>
        <w:rPr>
          <w:rFonts w:hint="eastAsia" w:ascii="Calibri" w:hAnsi="Calibri"/>
          <w:kern w:val="2"/>
        </w:rPr>
        <w:t>8.4 Inspection Objectives</w:t>
      </w:r>
    </w:p>
    <w:p w14:paraId="379EBDF2">
      <w:pPr>
        <w:spacing w:line="520" w:lineRule="exact"/>
        <w:jc w:val="left"/>
        <w:rPr>
          <w:rFonts w:ascii="Times New Roman" w:hAnsi="Times New Roman"/>
          <w:kern w:val="0"/>
        </w:rPr>
      </w:pPr>
      <w:r>
        <w:rPr>
          <w:rFonts w:hint="eastAsia" w:ascii="Times New Roman" w:hAnsi="Times New Roman"/>
          <w:kern w:val="0"/>
        </w:rPr>
        <w:t>核实KYC信息中的关键内容，如实际经营地址、生产规模、员工情况及设备状况。</w:t>
      </w:r>
    </w:p>
    <w:p w14:paraId="5FE9B811">
      <w:pPr>
        <w:spacing w:line="520" w:lineRule="exact"/>
        <w:jc w:val="left"/>
        <w:rPr>
          <w:rFonts w:ascii="Times New Roman" w:hAnsi="Times New Roman"/>
          <w:kern w:val="0"/>
        </w:rPr>
      </w:pPr>
      <w:r>
        <w:rPr>
          <w:rFonts w:hint="eastAsia" w:ascii="Times New Roman" w:hAnsi="Times New Roman"/>
          <w:kern w:val="0"/>
        </w:rPr>
        <w:t>重点评估《尽职调查指南》所定义的风险指标，并针对前期供应链尽职调查中的存疑点进行现场确认。</w:t>
      </w:r>
    </w:p>
    <w:p w14:paraId="24474523">
      <w:pPr>
        <w:spacing w:line="520" w:lineRule="exact"/>
        <w:ind w:firstLine="210" w:firstLineChars="100"/>
        <w:jc w:val="left"/>
        <w:rPr>
          <w:rFonts w:ascii="Calibri" w:hAnsi="Calibri"/>
          <w:kern w:val="2"/>
        </w:rPr>
      </w:pPr>
      <w:r>
        <w:rPr>
          <w:rFonts w:hint="eastAsia" w:ascii="Calibri" w:hAnsi="Calibri"/>
          <w:kern w:val="2"/>
        </w:rPr>
        <w:t xml:space="preserve">Verify key information from the KYC process, such as the actual business address, production scale, employee status, and equipment conditions.  </w:t>
      </w:r>
    </w:p>
    <w:p w14:paraId="5D3404D6">
      <w:pPr>
        <w:spacing w:line="520" w:lineRule="exact"/>
        <w:ind w:firstLine="210" w:firstLineChars="100"/>
        <w:jc w:val="left"/>
        <w:rPr>
          <w:rFonts w:ascii="Calibri" w:hAnsi="Calibri"/>
          <w:kern w:val="2"/>
        </w:rPr>
      </w:pPr>
      <w:r>
        <w:rPr>
          <w:rFonts w:hint="eastAsia" w:ascii="Calibri" w:hAnsi="Calibri"/>
          <w:kern w:val="2"/>
        </w:rPr>
        <w:t>Focus on assessing the risk indicators defined in the Due Diligence Guidelines and conduct on-site verification of any unresolved issues identified during the preliminary supply chain due diligence.</w:t>
      </w:r>
    </w:p>
    <w:p w14:paraId="2FAA7DA1">
      <w:pPr>
        <w:spacing w:line="520" w:lineRule="exact"/>
        <w:jc w:val="left"/>
        <w:rPr>
          <w:rFonts w:ascii="Times New Roman" w:hAnsi="Times New Roman"/>
          <w:kern w:val="0"/>
        </w:rPr>
      </w:pPr>
      <w:r>
        <w:rPr>
          <w:rFonts w:hint="eastAsia" w:ascii="Times New Roman" w:hAnsi="Times New Roman"/>
          <w:kern w:val="0"/>
        </w:rPr>
        <w:t>8.5 人员与独立性</w:t>
      </w:r>
    </w:p>
    <w:p w14:paraId="3AA254F1">
      <w:pPr>
        <w:spacing w:line="520" w:lineRule="exact"/>
        <w:ind w:firstLine="210" w:firstLineChars="100"/>
        <w:jc w:val="left"/>
        <w:rPr>
          <w:rFonts w:ascii="Calibri" w:hAnsi="Calibri"/>
          <w:kern w:val="2"/>
        </w:rPr>
      </w:pPr>
      <w:r>
        <w:rPr>
          <w:rFonts w:hint="eastAsia" w:ascii="Calibri" w:hAnsi="Calibri"/>
          <w:kern w:val="2"/>
        </w:rPr>
        <w:t>8.5 Personnel and Independence</w:t>
      </w:r>
    </w:p>
    <w:p w14:paraId="00A17806">
      <w:pPr>
        <w:spacing w:line="520" w:lineRule="exact"/>
        <w:jc w:val="left"/>
        <w:rPr>
          <w:rFonts w:ascii="Times New Roman" w:hAnsi="Times New Roman"/>
          <w:kern w:val="0"/>
        </w:rPr>
      </w:pPr>
      <w:r>
        <w:rPr>
          <w:rFonts w:hint="eastAsia" w:ascii="Times New Roman" w:hAnsi="Times New Roman"/>
          <w:kern w:val="0"/>
        </w:rPr>
        <w:t>执行人员应为本公司合规、采购或内部审计部门中经验丰富的员工，或聘请与供应商无利益关联的独立第三方。考察团队需承诺客观公正，并签署无利益冲突声明，确保调查结果不受任何不当影响。</w:t>
      </w:r>
    </w:p>
    <w:p w14:paraId="4D8622D2">
      <w:pPr>
        <w:spacing w:line="520" w:lineRule="exact"/>
        <w:ind w:firstLine="210" w:firstLineChars="100"/>
        <w:jc w:val="left"/>
        <w:rPr>
          <w:rFonts w:ascii="Calibri" w:hAnsi="Calibri"/>
          <w:kern w:val="2"/>
        </w:rPr>
      </w:pPr>
      <w:r>
        <w:rPr>
          <w:rFonts w:hint="eastAsia" w:ascii="Calibri" w:hAnsi="Calibri"/>
          <w:kern w:val="2"/>
        </w:rPr>
        <w:t>Personnel assigned to conduct the inspections should be experienced staff from the company's Compliance, Procurement, or Internal Audit departments, or an independent third-party entity with no vested interest in the supplier. The inspection team must commit to maintaining objectivity and impartiality, and sign a conflict-of-interest declaration to ensure the investigation's findings are free from any improper influence.</w:t>
      </w:r>
    </w:p>
    <w:p w14:paraId="2DF2A550">
      <w:pPr>
        <w:spacing w:line="520" w:lineRule="exact"/>
        <w:jc w:val="left"/>
        <w:rPr>
          <w:rFonts w:ascii="Times New Roman" w:hAnsi="Times New Roman"/>
          <w:kern w:val="0"/>
        </w:rPr>
      </w:pPr>
      <w:r>
        <w:rPr>
          <w:rFonts w:hint="eastAsia" w:ascii="Times New Roman" w:hAnsi="Times New Roman"/>
          <w:kern w:val="0"/>
        </w:rPr>
        <w:t>8.6记录与报告</w:t>
      </w:r>
    </w:p>
    <w:p w14:paraId="50BCB6E4">
      <w:pPr>
        <w:spacing w:line="520" w:lineRule="exact"/>
        <w:ind w:firstLine="210" w:firstLineChars="100"/>
        <w:jc w:val="left"/>
        <w:rPr>
          <w:rFonts w:ascii="Calibri" w:hAnsi="Calibri"/>
          <w:kern w:val="2"/>
        </w:rPr>
      </w:pPr>
      <w:r>
        <w:rPr>
          <w:rFonts w:hint="eastAsia" w:ascii="Calibri" w:hAnsi="Calibri"/>
          <w:kern w:val="2"/>
        </w:rPr>
        <w:t>8.6 Recording and Reporting</w:t>
      </w:r>
    </w:p>
    <w:p w14:paraId="72C137F2">
      <w:pPr>
        <w:spacing w:line="520" w:lineRule="exact"/>
        <w:jc w:val="left"/>
        <w:rPr>
          <w:rFonts w:ascii="Times New Roman" w:hAnsi="Times New Roman"/>
          <w:kern w:val="0"/>
        </w:rPr>
      </w:pPr>
      <w:r>
        <w:rPr>
          <w:rFonts w:hint="eastAsia" w:ascii="Times New Roman" w:hAnsi="Times New Roman"/>
          <w:kern w:val="0"/>
        </w:rPr>
        <w:t>必须使用LBMA精炼商工具包提供的《实地考察报告模板》完整记录整个过程与发现。如确需使用自定义模板，须提前书面说明理由，并确保所记录的信息维度不低于官方模板要求。</w:t>
      </w:r>
    </w:p>
    <w:p w14:paraId="798C2710">
      <w:pPr>
        <w:spacing w:line="520" w:lineRule="exact"/>
        <w:ind w:firstLine="210" w:firstLineChars="100"/>
        <w:jc w:val="left"/>
        <w:rPr>
          <w:rFonts w:ascii="Calibri" w:hAnsi="Calibri"/>
          <w:kern w:val="2"/>
        </w:rPr>
      </w:pPr>
      <w:r>
        <w:rPr>
          <w:rFonts w:hint="eastAsia" w:ascii="Calibri" w:hAnsi="Calibri"/>
          <w:kern w:val="2"/>
        </w:rPr>
        <w:t>The entire process and findings must be fully documented using the On-site Inspection Report Template provided in the LBMA Refiner’s Toolkit. If a custom template must be used, the reasons must be explained in writing in advance, and it must be ensured that the scope and depth of information recorded are not less than those required by the official template.</w:t>
      </w:r>
    </w:p>
    <w:p w14:paraId="10C37D16">
      <w:pPr>
        <w:spacing w:line="520" w:lineRule="exact"/>
        <w:jc w:val="left"/>
        <w:rPr>
          <w:rFonts w:ascii="Times New Roman" w:hAnsi="Times New Roman"/>
          <w:kern w:val="0"/>
        </w:rPr>
      </w:pPr>
      <w:r>
        <w:rPr>
          <w:rFonts w:hint="eastAsia" w:ascii="Times New Roman" w:hAnsi="Times New Roman"/>
          <w:kern w:val="0"/>
        </w:rPr>
        <w:t>8.7 后续行动</w:t>
      </w:r>
    </w:p>
    <w:p w14:paraId="36A27A9A">
      <w:pPr>
        <w:spacing w:line="520" w:lineRule="exact"/>
        <w:ind w:firstLine="210" w:firstLineChars="100"/>
        <w:jc w:val="left"/>
        <w:rPr>
          <w:rFonts w:ascii="Calibri" w:hAnsi="Calibri"/>
          <w:kern w:val="2"/>
        </w:rPr>
      </w:pPr>
      <w:r>
        <w:rPr>
          <w:rFonts w:hint="eastAsia" w:ascii="Calibri" w:hAnsi="Calibri"/>
          <w:kern w:val="2"/>
        </w:rPr>
        <w:t>8.7  Follow-up Actions</w:t>
      </w:r>
    </w:p>
    <w:p w14:paraId="124635F9">
      <w:pPr>
        <w:spacing w:line="520" w:lineRule="exact"/>
        <w:jc w:val="left"/>
        <w:rPr>
          <w:rFonts w:ascii="Times New Roman" w:hAnsi="Times New Roman"/>
          <w:kern w:val="0"/>
        </w:rPr>
      </w:pPr>
      <w:r>
        <w:rPr>
          <w:rFonts w:hint="eastAsia" w:ascii="Times New Roman" w:hAnsi="Times New Roman"/>
          <w:kern w:val="0"/>
        </w:rPr>
        <w:t>根据发现问题的严重程度与数量，制定分级的改进计划，明确整改措施、时间表与责任人。整改情况需纳入定期复核，对未在约定时限内完成改进的供应商或拒绝接受加强型尽职调查的供应商，应考虑暂停合作直至风险解除。</w:t>
      </w:r>
    </w:p>
    <w:p w14:paraId="2A9144A2">
      <w:pPr>
        <w:spacing w:line="520" w:lineRule="exact"/>
        <w:ind w:firstLine="210" w:firstLineChars="100"/>
        <w:jc w:val="left"/>
        <w:rPr>
          <w:rFonts w:ascii="Calibri" w:hAnsi="Calibri"/>
          <w:kern w:val="2"/>
        </w:rPr>
      </w:pPr>
      <w:r>
        <w:rPr>
          <w:rFonts w:hint="eastAsia" w:ascii="Calibri" w:hAnsi="Calibri"/>
          <w:kern w:val="2"/>
        </w:rPr>
        <w:t>Based on the severity and number of issues identified, a graded improvement plan should be developed, specifying corrective actions, timelines, and responsible parties. The implementation status of corrections must be incorporated into regular reviews. For suppliers failing to complete improvements within the agreed timeframe or</w:t>
      </w:r>
      <w:r>
        <w:rPr>
          <w:rFonts w:ascii="Calibri" w:hAnsi="Calibri"/>
          <w:kern w:val="2"/>
        </w:rPr>
        <w:t xml:space="preserve"> refuse to the enhance due diligence</w:t>
      </w:r>
      <w:r>
        <w:rPr>
          <w:rFonts w:hint="eastAsia" w:ascii="Calibri" w:hAnsi="Calibri"/>
          <w:kern w:val="2"/>
        </w:rPr>
        <w:t>, suspension of cooperation should be considered until the risks are mitigated.</w:t>
      </w:r>
    </w:p>
    <w:p w14:paraId="2202D704">
      <w:pPr>
        <w:spacing w:line="520" w:lineRule="exact"/>
      </w:pPr>
      <w:r>
        <w:rPr>
          <w:rFonts w:hint="eastAsia"/>
        </w:rPr>
        <w:t>8.8 向高级管理层报告风险评估</w:t>
      </w:r>
    </w:p>
    <w:p w14:paraId="61FF77F6">
      <w:pPr>
        <w:spacing w:line="520" w:lineRule="exact"/>
        <w:ind w:firstLine="210" w:firstLineChars="100"/>
        <w:jc w:val="left"/>
      </w:pPr>
      <w:r>
        <w:rPr>
          <w:rFonts w:hint="eastAsia"/>
        </w:rPr>
        <w:t xml:space="preserve">8.8 </w:t>
      </w:r>
      <w:r>
        <w:t xml:space="preserve"> Report risk assessment to senior management</w:t>
      </w:r>
    </w:p>
    <w:p w14:paraId="20AA0B76">
      <w:pPr>
        <w:spacing w:line="520" w:lineRule="exact"/>
      </w:pPr>
      <w:r>
        <w:rPr>
          <w:rFonts w:hint="eastAsia"/>
        </w:rPr>
        <w:t>公司建立风险评估报告制度，每年尽责管理小组及合规专员对供</w:t>
      </w:r>
      <w:r>
        <w:t>应商进行调查</w:t>
      </w:r>
      <w:r>
        <w:rPr>
          <w:rFonts w:hint="eastAsia"/>
        </w:rPr>
        <w:t>，将黄金供应链的风险识别和评估结果汇报给高级管理层，若识别出任何的零容忍风险，将终止该交易并上报尽职管理委员会审批后报政府部门。</w:t>
      </w:r>
    </w:p>
    <w:p w14:paraId="36866158">
      <w:pPr>
        <w:spacing w:line="520" w:lineRule="exact"/>
        <w:ind w:firstLine="0" w:firstLineChars="0"/>
      </w:pPr>
      <w:r>
        <w:t xml:space="preserve">The Company </w:t>
      </w:r>
      <w:r>
        <w:rPr>
          <w:rFonts w:hint="eastAsia"/>
        </w:rPr>
        <w:t>has</w:t>
      </w:r>
      <w:r>
        <w:t xml:space="preserve"> establish</w:t>
      </w:r>
      <w:r>
        <w:rPr>
          <w:rFonts w:hint="eastAsia"/>
        </w:rPr>
        <w:t>ed</w:t>
      </w:r>
      <w:r>
        <w:t xml:space="preserve"> a risk assessment report system, and the responsible management team and the compliance officer shall investigate the suppliers annually and report the risk identification and assessment results of the gold supply chain to the senior management. In case of identification of zero-tolerance risk, the transaction will be terminated and reported to the due diligence management committee for approval before reporting to the government department.</w:t>
      </w:r>
    </w:p>
    <w:p w14:paraId="5C513EA4">
      <w:pPr>
        <w:spacing w:line="520" w:lineRule="exact"/>
        <w:ind w:firstLine="422"/>
        <w:rPr>
          <w:b/>
          <w:bCs/>
        </w:rPr>
      </w:pPr>
      <w:r>
        <w:rPr>
          <w:rFonts w:hint="eastAsia"/>
          <w:b/>
          <w:bCs/>
        </w:rPr>
        <w:t>第三步 设计并实施策略来应对已识别的风险</w:t>
      </w:r>
    </w:p>
    <w:p w14:paraId="33DCF2F8">
      <w:pPr>
        <w:spacing w:line="520" w:lineRule="exact"/>
        <w:ind w:firstLine="422"/>
        <w:rPr>
          <w:b/>
          <w:bCs/>
        </w:rPr>
      </w:pPr>
      <w:r>
        <w:rPr>
          <w:b/>
          <w:bCs/>
        </w:rPr>
        <w:t>Step 3: Design and implement a strategy to respond to identified risks</w:t>
      </w:r>
    </w:p>
    <w:p w14:paraId="3E61E252">
      <w:pPr>
        <w:spacing w:line="520" w:lineRule="exact"/>
      </w:pPr>
      <w:r>
        <w:rPr>
          <w:rFonts w:hint="eastAsia"/>
        </w:rPr>
        <w:t>合规声明与要求：</w:t>
      </w:r>
    </w:p>
    <w:p w14:paraId="4C342F8B">
      <w:pPr>
        <w:spacing w:line="520" w:lineRule="exact"/>
      </w:pPr>
      <w:r>
        <w:t>Compliance Statement with Requirement:</w:t>
      </w:r>
    </w:p>
    <w:p w14:paraId="0910B37A">
      <w:pPr>
        <w:spacing w:line="520" w:lineRule="exact"/>
      </w:pPr>
      <w:r>
        <w:rPr>
          <w:rFonts w:hint="eastAsia"/>
        </w:rPr>
        <w:t>我公司已经充分遵守第3步：设计和落实管理体系应对识别的所有风险。</w:t>
      </w:r>
    </w:p>
    <w:p w14:paraId="60C209D6">
      <w:pPr>
        <w:spacing w:line="520" w:lineRule="exact"/>
        <w:ind w:firstLine="0" w:firstLineChars="0"/>
        <w:rPr>
          <w:rFonts w:ascii="楷体" w:hAnsi="楷体" w:cs="楷体"/>
        </w:rPr>
      </w:pPr>
      <w:r>
        <w:t>We have fully complied with Step 3: Design and implement a management system to respond to identified risks.</w:t>
      </w:r>
    </w:p>
    <w:p w14:paraId="0F0051A1">
      <w:pPr>
        <w:spacing w:line="520" w:lineRule="exact"/>
      </w:pPr>
      <w:r>
        <w:rPr>
          <w:rFonts w:hint="eastAsia"/>
        </w:rPr>
        <w:t>公司严格遵守LBMA黄金责任指南第三步“设计并实施策略来应对已识别的风险”的要求。2025年度，共对全部35家供应商进行了风险评估，其中：零容忍风险供应商0家，高风险供应商0家，中风险供应商0家，低风险供应商35家。本年度因未识别出高风险供应商，故未触发强化尽职调查（EDD）流程。</w:t>
      </w:r>
    </w:p>
    <w:p w14:paraId="1A483CC5">
      <w:pPr>
        <w:spacing w:line="520" w:lineRule="exact"/>
      </w:pPr>
      <w:r>
        <w:rPr>
          <w:rFonts w:eastAsia="仿宋"/>
        </w:rPr>
        <w:t xml:space="preserve">We have strictly </w:t>
      </w:r>
      <w:r>
        <w:t xml:space="preserve">complied with </w:t>
      </w:r>
      <w:r>
        <w:rPr>
          <w:rFonts w:hint="eastAsia"/>
        </w:rPr>
        <w:t xml:space="preserve">requirements under </w:t>
      </w:r>
      <w:r>
        <w:t>Step 3 “Design and implement a strategy to respond to identified risks”</w:t>
      </w:r>
      <w:r>
        <w:rPr>
          <w:rFonts w:hint="eastAsia"/>
        </w:rPr>
        <w:t xml:space="preserve"> </w:t>
      </w:r>
      <w:r>
        <w:t>of LBMA Responsible Gold Guidance</w:t>
      </w:r>
      <w:r>
        <w:rPr>
          <w:rFonts w:hint="eastAsia"/>
        </w:rPr>
        <w:t>. In 2025, a risk assessment was conducted for all 35 suppliers. The results were as follows: there were 0 suppliers with zero tolerance risks, 0 suppliers with high risks, 0 suppliers with medium risks, and 35suppliers with low risks. This year, since no high-risk suppliers were identified, the enhanced due diligence (EDD) process was not triggered.</w:t>
      </w:r>
    </w:p>
    <w:p w14:paraId="60501CA5">
      <w:pPr>
        <w:spacing w:line="520" w:lineRule="exact"/>
      </w:pPr>
      <w:r>
        <w:rPr>
          <w:rFonts w:hint="eastAsia"/>
        </w:rPr>
        <w:t>公司制定了《供应链风险减缓管理办法》并作为温控管理，约定了在供应商评估及日常业务开展过程中发现的违规情况的处理方式；规范了发现供应商存在高风险行为的处理步骤；明确了尽职管理各级组织、人员的责任。</w:t>
      </w:r>
    </w:p>
    <w:p w14:paraId="7C67BFED">
      <w:pPr>
        <w:spacing w:line="520" w:lineRule="exact"/>
      </w:pPr>
      <w:r>
        <w:t xml:space="preserve">We </w:t>
      </w:r>
      <w:r>
        <w:rPr>
          <w:rFonts w:hint="eastAsia"/>
        </w:rPr>
        <w:t>have</w:t>
      </w:r>
      <w:r>
        <w:t xml:space="preserve"> developed the </w:t>
      </w:r>
      <w:r>
        <w:rPr>
          <w:i/>
        </w:rPr>
        <w:t>Supply Chain Risk Mitigation Management Measures</w:t>
      </w:r>
      <w:r>
        <w:t xml:space="preserve"> </w:t>
      </w:r>
      <w:r>
        <w:rPr>
          <w:rFonts w:hint="eastAsia"/>
        </w:rPr>
        <w:t xml:space="preserve">for </w:t>
      </w:r>
      <w:r>
        <w:t xml:space="preserve">document control management, established risk </w:t>
      </w:r>
      <w:r>
        <w:rPr>
          <w:rFonts w:hint="eastAsia"/>
        </w:rPr>
        <w:t>assessment</w:t>
      </w:r>
      <w:r>
        <w:t xml:space="preserve"> standards and procedures</w:t>
      </w:r>
      <w:r>
        <w:rPr>
          <w:rFonts w:hint="eastAsia"/>
        </w:rPr>
        <w:t xml:space="preserve">. </w:t>
      </w:r>
      <w:r>
        <w:t>W</w:t>
      </w:r>
      <w:r>
        <w:rPr>
          <w:rFonts w:hint="eastAsia"/>
        </w:rPr>
        <w:t xml:space="preserve">e have </w:t>
      </w:r>
      <w:r>
        <w:t>made risk mitigation strateg</w:t>
      </w:r>
      <w:r>
        <w:rPr>
          <w:rFonts w:hint="eastAsia"/>
        </w:rPr>
        <w:t xml:space="preserve">ies </w:t>
      </w:r>
      <w:r>
        <w:t>and</w:t>
      </w:r>
      <w:r>
        <w:rPr>
          <w:rFonts w:hint="eastAsia"/>
        </w:rPr>
        <w:t xml:space="preserve"> determined </w:t>
      </w:r>
      <w:r>
        <w:t xml:space="preserve">the treatment </w:t>
      </w:r>
      <w:r>
        <w:rPr>
          <w:rFonts w:hint="eastAsia"/>
        </w:rPr>
        <w:t>for</w:t>
      </w:r>
      <w:r>
        <w:t xml:space="preserve"> violations found </w:t>
      </w:r>
      <w:r>
        <w:rPr>
          <w:rFonts w:hint="eastAsia"/>
        </w:rPr>
        <w:t>during</w:t>
      </w:r>
      <w:r>
        <w:t xml:space="preserve"> supplier evaluation and daily business development</w:t>
      </w:r>
      <w:r>
        <w:rPr>
          <w:rFonts w:hint="eastAsia"/>
        </w:rPr>
        <w:t>.</w:t>
      </w:r>
      <w:r>
        <w:t xml:space="preserve"> W</w:t>
      </w:r>
      <w:r>
        <w:rPr>
          <w:rFonts w:hint="eastAsia"/>
        </w:rPr>
        <w:t>e have normalized p</w:t>
      </w:r>
      <w:r>
        <w:t>rocedure</w:t>
      </w:r>
      <w:r>
        <w:rPr>
          <w:rFonts w:hint="eastAsia"/>
        </w:rPr>
        <w:t>s</w:t>
      </w:r>
      <w:r>
        <w:t xml:space="preserve"> </w:t>
      </w:r>
      <w:r>
        <w:rPr>
          <w:rFonts w:hint="eastAsia"/>
        </w:rPr>
        <w:t>for</w:t>
      </w:r>
      <w:r>
        <w:t xml:space="preserve"> dealing with high-risk behaviors of suppliers</w:t>
      </w:r>
      <w:r>
        <w:rPr>
          <w:rFonts w:hint="eastAsia"/>
        </w:rPr>
        <w:t xml:space="preserve"> and </w:t>
      </w:r>
      <w:r>
        <w:t>have</w:t>
      </w:r>
      <w:r>
        <w:rPr>
          <w:rFonts w:hint="eastAsia"/>
        </w:rPr>
        <w:t xml:space="preserve"> defined </w:t>
      </w:r>
      <w:r>
        <w:t>the responsibilit</w:t>
      </w:r>
      <w:r>
        <w:rPr>
          <w:rFonts w:hint="eastAsia"/>
        </w:rPr>
        <w:t xml:space="preserve">ies of </w:t>
      </w:r>
      <w:r>
        <w:t>organizations</w:t>
      </w:r>
      <w:r>
        <w:rPr>
          <w:rFonts w:hint="eastAsia"/>
        </w:rPr>
        <w:t xml:space="preserve"> </w:t>
      </w:r>
      <w:r>
        <w:t>and</w:t>
      </w:r>
      <w:r>
        <w:rPr>
          <w:rFonts w:hint="eastAsia"/>
        </w:rPr>
        <w:t xml:space="preserve"> </w:t>
      </w:r>
      <w:r>
        <w:t>personnel at all levels</w:t>
      </w:r>
      <w:r>
        <w:rPr>
          <w:rFonts w:hint="eastAsia"/>
        </w:rPr>
        <w:t xml:space="preserve"> during </w:t>
      </w:r>
      <w:r>
        <w:t>due diligence management.</w:t>
      </w:r>
    </w:p>
    <w:p w14:paraId="333AED12">
      <w:pPr>
        <w:spacing w:line="520" w:lineRule="exact"/>
      </w:pPr>
      <w:r>
        <w:rPr>
          <w:rFonts w:hint="eastAsia"/>
        </w:rPr>
        <w:t>如果供应链尽职调查结果得出以下结论，</w:t>
      </w:r>
      <w:r>
        <w:t xml:space="preserve"> </w:t>
      </w:r>
      <w:r>
        <w:rPr>
          <w:rFonts w:hint="eastAsia"/>
        </w:rPr>
        <w:t>则需立即停止该交易并上报至有关人员：</w:t>
      </w:r>
    </w:p>
    <w:p w14:paraId="76A59CAF">
      <w:pPr>
        <w:spacing w:line="520" w:lineRule="exact"/>
        <w:ind w:firstLine="0" w:firstLineChars="0"/>
      </w:pPr>
      <w:r>
        <w:t>In case of the following conclusions of the supply chain due diligence results, the transaction shall be immediately stopped and reported to the relevant personnel:</w:t>
      </w:r>
    </w:p>
    <w:p w14:paraId="4A78DAE9">
      <w:pPr>
        <w:spacing w:line="520" w:lineRule="exact"/>
      </w:pPr>
      <w:r>
        <w:t xml:space="preserve">1、存在有关矿产金、再生金提取、运输或贸易的系统性或广泛人权侵犯行为， </w:t>
      </w:r>
      <w:r>
        <w:rPr>
          <w:rFonts w:hint="eastAsia"/>
        </w:rPr>
        <w:t>包括最严重的使用童工、酷刑、非人道以及侮辱人格对待方式、广泛的性暴力或其他严重反人权强迫劳动、战争罪、反人类罪或种族灭绝罪；</w:t>
      </w:r>
    </w:p>
    <w:p w14:paraId="197307B8">
      <w:pPr>
        <w:spacing w:line="520" w:lineRule="exact"/>
      </w:pPr>
      <w:r>
        <w:t>1. There are systematic or widespread human rights violations related to the extraction, transportation or trade of mineral gold and recycled gold, including the most serious use of child labor, torture, inhuman and degrading treatment, widespread sexual violence or other serious anti-human rights forced labor, war crimes, and crimes against humanity or genocide;</w:t>
      </w:r>
    </w:p>
    <w:p w14:paraId="6CFBE6F9">
      <w:pPr>
        <w:spacing w:line="520" w:lineRule="exact"/>
      </w:pPr>
      <w:r>
        <w:t>2</w:t>
      </w:r>
      <w:r>
        <w:rPr>
          <w:rFonts w:hint="eastAsia"/>
        </w:rPr>
        <w:t>、存在向非法的非政府武装组织提供直接或间接支持；</w:t>
      </w:r>
    </w:p>
    <w:p w14:paraId="16D8C317">
      <w:pPr>
        <w:spacing w:line="520" w:lineRule="exact"/>
      </w:pPr>
      <w:r>
        <w:t>2. There is direct or indirect support for illegal non-governmental armed organizations;</w:t>
      </w:r>
    </w:p>
    <w:p w14:paraId="14C0FABC">
      <w:pPr>
        <w:spacing w:line="520" w:lineRule="exact"/>
      </w:pPr>
      <w:r>
        <w:t>3</w:t>
      </w:r>
      <w:r>
        <w:rPr>
          <w:rFonts w:hint="eastAsia"/>
        </w:rPr>
        <w:t>、存在通过欺诈掩盖矿产金、再生金的原产地；</w:t>
      </w:r>
    </w:p>
    <w:p w14:paraId="4A5FCCAC">
      <w:pPr>
        <w:spacing w:line="520" w:lineRule="exact"/>
      </w:pPr>
      <w:r>
        <w:t>3. The origin of mine</w:t>
      </w:r>
      <w:r>
        <w:rPr>
          <w:rFonts w:hint="eastAsia"/>
        </w:rPr>
        <w:t>d</w:t>
      </w:r>
      <w:r>
        <w:t xml:space="preserve"> gold and recycled gold is covered up by fraud;</w:t>
      </w:r>
    </w:p>
    <w:p w14:paraId="583BBC2C">
      <w:pPr>
        <w:spacing w:line="520" w:lineRule="exact"/>
      </w:pPr>
      <w:r>
        <w:t>4</w:t>
      </w:r>
      <w:r>
        <w:rPr>
          <w:rFonts w:hint="eastAsia"/>
        </w:rPr>
        <w:t>、存在洗钱或恐怖主义融资；</w:t>
      </w:r>
    </w:p>
    <w:p w14:paraId="06AECE16">
      <w:pPr>
        <w:spacing w:line="520" w:lineRule="exact"/>
      </w:pPr>
      <w:r>
        <w:t>4. There is money laundering or terrorist financing;</w:t>
      </w:r>
    </w:p>
    <w:p w14:paraId="7B24DD42">
      <w:pPr>
        <w:spacing w:line="520" w:lineRule="exact"/>
      </w:pPr>
      <w:r>
        <w:rPr>
          <w:rFonts w:hint="eastAsia"/>
        </w:rPr>
        <w:t>如果供应链尽职调查得出以下结论，</w:t>
      </w:r>
      <w:r>
        <w:t xml:space="preserve"> </w:t>
      </w:r>
      <w:r>
        <w:rPr>
          <w:rFonts w:hint="eastAsia"/>
        </w:rPr>
        <w:t>则需立即暂停该矿产金、再生金的冶炼，</w:t>
      </w:r>
      <w:r>
        <w:t xml:space="preserve"> </w:t>
      </w:r>
      <w:r>
        <w:rPr>
          <w:rFonts w:hint="eastAsia"/>
        </w:rPr>
        <w:t>直至供应商在</w:t>
      </w:r>
      <w:r>
        <w:t>6</w:t>
      </w:r>
      <w:r>
        <w:rPr>
          <w:rFonts w:hint="eastAsia"/>
        </w:rPr>
        <w:t>个月之内提供可证明其并不可能存在以下事项的额外数据或信息为止。若在</w:t>
      </w:r>
      <w:r>
        <w:t>6</w:t>
      </w:r>
      <w:r>
        <w:rPr>
          <w:rFonts w:hint="eastAsia"/>
        </w:rPr>
        <w:t>个月之内仍未提供相关证据，</w:t>
      </w:r>
      <w:r>
        <w:t xml:space="preserve"> </w:t>
      </w:r>
      <w:r>
        <w:rPr>
          <w:rFonts w:hint="eastAsia"/>
        </w:rPr>
        <w:t>则需立即停止该交易并上报至有关人员：</w:t>
      </w:r>
    </w:p>
    <w:p w14:paraId="504920D1">
      <w:pPr>
        <w:spacing w:line="520" w:lineRule="exact"/>
        <w:ind w:firstLine="0" w:firstLineChars="0"/>
      </w:pPr>
      <w:r>
        <w:t>In case of the following conclusions on supply chain due diligence, the smelting of mineral gold and recycled gold shall be suspended immediately until the supplier provides additional data or information proving that the following matters are not possible to occur within 6 months: If relevant evidence is not provided within 6 months, the transaction shall be immediately stopped and reported to relevant personnel:</w:t>
      </w:r>
    </w:p>
    <w:p w14:paraId="207CC4B9">
      <w:pPr>
        <w:spacing w:line="520" w:lineRule="exact"/>
      </w:pPr>
      <w:r>
        <w:t>1</w:t>
      </w:r>
      <w:r>
        <w:rPr>
          <w:rFonts w:hint="eastAsia"/>
        </w:rPr>
        <w:t>、</w:t>
      </w:r>
      <w:r>
        <w:t xml:space="preserve"> </w:t>
      </w:r>
      <w:r>
        <w:rPr>
          <w:rFonts w:hint="eastAsia"/>
        </w:rPr>
        <w:t>可能存在有关矿产金、再生金提取、运输或贸易的系统性或广泛人权侵犯行为，</w:t>
      </w:r>
      <w:r>
        <w:t xml:space="preserve"> </w:t>
      </w:r>
      <w:r>
        <w:rPr>
          <w:rFonts w:hint="eastAsia"/>
        </w:rPr>
        <w:t>包括最严重的使用童工、酷刑、非人道以及侮辱人格对待方式、广泛的性暴力或其他严重反人权强迫劳动、战争罪、反人类罪或种族灭绝罪；</w:t>
      </w:r>
    </w:p>
    <w:p w14:paraId="6D93BC07">
      <w:pPr>
        <w:spacing w:line="520" w:lineRule="exact"/>
      </w:pPr>
      <w:r>
        <w:t>1. There may be systematic or widespread human rights violations related to the extraction, transportation or trade of mineral gold and recycled gold, including the most serious use of child labor, torture, inhuman and degrading treatment, widespread sexual violence or other serious anti-human rights forced labor, war crimes, and crimes against humanity or genocide;</w:t>
      </w:r>
    </w:p>
    <w:p w14:paraId="57A15C0A">
      <w:pPr>
        <w:spacing w:line="520" w:lineRule="exact"/>
      </w:pPr>
      <w:r>
        <w:t>2</w:t>
      </w:r>
      <w:r>
        <w:rPr>
          <w:rFonts w:hint="eastAsia"/>
        </w:rPr>
        <w:t>、可能存在向非法的非政府武装组织提供直接或间接支持；</w:t>
      </w:r>
    </w:p>
    <w:p w14:paraId="6454E371">
      <w:pPr>
        <w:spacing w:line="520" w:lineRule="exact"/>
      </w:pPr>
      <w:r>
        <w:t>2. There may be direct or indirect support for illegal non-governmental armed organizations;</w:t>
      </w:r>
    </w:p>
    <w:p w14:paraId="27A650E6">
      <w:pPr>
        <w:spacing w:line="520" w:lineRule="exact"/>
      </w:pPr>
      <w:r>
        <w:t>3</w:t>
      </w:r>
      <w:r>
        <w:rPr>
          <w:rFonts w:hint="eastAsia"/>
        </w:rPr>
        <w:t>、</w:t>
      </w:r>
      <w:r>
        <w:t xml:space="preserve"> </w:t>
      </w:r>
      <w:r>
        <w:rPr>
          <w:rFonts w:hint="eastAsia"/>
        </w:rPr>
        <w:t>可能存在通过欺诈掩盖矿产金、再生金的原产地；</w:t>
      </w:r>
    </w:p>
    <w:p w14:paraId="327A6225">
      <w:pPr>
        <w:spacing w:line="520" w:lineRule="exact"/>
      </w:pPr>
      <w:r>
        <w:t>3. The origin of mine</w:t>
      </w:r>
      <w:r>
        <w:rPr>
          <w:rFonts w:hint="eastAsia"/>
        </w:rPr>
        <w:t>d</w:t>
      </w:r>
      <w:r>
        <w:t xml:space="preserve"> gold and recycled gold is covered up by fraud;</w:t>
      </w:r>
    </w:p>
    <w:p w14:paraId="1C13F013">
      <w:pPr>
        <w:spacing w:line="520" w:lineRule="exact"/>
      </w:pPr>
      <w:r>
        <w:t>4</w:t>
      </w:r>
      <w:r>
        <w:rPr>
          <w:rFonts w:hint="eastAsia"/>
        </w:rPr>
        <w:t>、</w:t>
      </w:r>
      <w:r>
        <w:t xml:space="preserve"> </w:t>
      </w:r>
      <w:r>
        <w:rPr>
          <w:rFonts w:hint="eastAsia"/>
        </w:rPr>
        <w:t>可能存在洗钱或恐怖主义融资；</w:t>
      </w:r>
    </w:p>
    <w:p w14:paraId="43EDB915">
      <w:pPr>
        <w:spacing w:line="520" w:lineRule="exact"/>
      </w:pPr>
      <w:r>
        <w:t>4. There may be money laundering or terrorist financing;</w:t>
      </w:r>
    </w:p>
    <w:p w14:paraId="11E22C9B">
      <w:pPr>
        <w:spacing w:line="520" w:lineRule="exact"/>
      </w:pPr>
      <w:r>
        <w:t>5</w:t>
      </w:r>
      <w:r>
        <w:rPr>
          <w:rFonts w:hint="eastAsia"/>
        </w:rPr>
        <w:t>、</w:t>
      </w:r>
      <w:r>
        <w:t xml:space="preserve"> </w:t>
      </w:r>
      <w:r>
        <w:rPr>
          <w:rFonts w:hint="eastAsia"/>
        </w:rPr>
        <w:t>可能不遵守环境和可持续发展法律要求</w:t>
      </w:r>
    </w:p>
    <w:p w14:paraId="2CD5DED9">
      <w:pPr>
        <w:spacing w:line="520" w:lineRule="exact"/>
      </w:pPr>
      <w:r>
        <w:t xml:space="preserve">5. Environmental and sustainable development legal requirements may not be followed </w:t>
      </w:r>
    </w:p>
    <w:p w14:paraId="23D2E893">
      <w:pPr>
        <w:spacing w:line="520" w:lineRule="exact"/>
      </w:pPr>
      <w:r>
        <w:rPr>
          <w:rFonts w:hint="eastAsia"/>
        </w:rPr>
        <w:t>如果供应链尽职调查结论不完全令人满意，或认为存在以下情况，但是供应商</w:t>
      </w:r>
      <w:r>
        <w:t>/</w:t>
      </w:r>
      <w:r>
        <w:rPr>
          <w:rFonts w:hint="eastAsia"/>
        </w:rPr>
        <w:t>交易方已经做出合理和善意的努力，可继续与供应商</w:t>
      </w:r>
      <w:r>
        <w:t>/</w:t>
      </w:r>
      <w:r>
        <w:rPr>
          <w:rFonts w:hint="eastAsia"/>
        </w:rPr>
        <w:t>交易方保持合作，同时与供应商</w:t>
      </w:r>
      <w:r>
        <w:t>/</w:t>
      </w:r>
      <w:r>
        <w:rPr>
          <w:rFonts w:hint="eastAsia"/>
        </w:rPr>
        <w:t>交易方沟通、建立并执行风险缓解计划，对实施的进展执行定性或定量的绩效指标并进行监控。如果在</w:t>
      </w:r>
      <w:r>
        <w:t>6</w:t>
      </w:r>
      <w:r>
        <w:rPr>
          <w:rFonts w:hint="eastAsia"/>
        </w:rPr>
        <w:t>个月之内仍未提供相关证据或缓解失败，</w:t>
      </w:r>
      <w:r>
        <w:t xml:space="preserve"> </w:t>
      </w:r>
      <w:r>
        <w:rPr>
          <w:rFonts w:hint="eastAsia"/>
        </w:rPr>
        <w:t>则需立即停止该交易并上报至有关人员</w:t>
      </w:r>
    </w:p>
    <w:p w14:paraId="6D311CA7">
      <w:pPr>
        <w:spacing w:line="520" w:lineRule="exact"/>
      </w:pPr>
      <w:r>
        <w:t>In case the conclusion of supply chain due diligence is not completely satisfactory, or the following circumstances are considered, but the supplier/supplier has made reasonable and good faith efforts, the cooperation with the supplier/supplier can be maintained, and communication with the supplier/counterparty can be continued to establish and implement risk mitigation plans, implement qualitative or quantitative performance indicators and monitor the implementation progress. In case relevant evidence is not provided or mitigation fails within 6 months, the transaction shall be immediately stopped and reported to relevant personnel</w:t>
      </w:r>
    </w:p>
    <w:p w14:paraId="102516ED">
      <w:pPr>
        <w:spacing w:line="520" w:lineRule="exact"/>
      </w:pPr>
      <w:r>
        <w:t>1</w:t>
      </w:r>
      <w:r>
        <w:rPr>
          <w:rFonts w:hint="eastAsia"/>
        </w:rPr>
        <w:t>、</w:t>
      </w:r>
      <w:r>
        <w:t xml:space="preserve"> </w:t>
      </w:r>
      <w:r>
        <w:rPr>
          <w:rFonts w:hint="eastAsia"/>
        </w:rPr>
        <w:t>贿赂</w:t>
      </w:r>
    </w:p>
    <w:p w14:paraId="79ED36EB">
      <w:pPr>
        <w:spacing w:line="520" w:lineRule="exact"/>
      </w:pPr>
      <w:r>
        <w:t>1. Bribe</w:t>
      </w:r>
    </w:p>
    <w:p w14:paraId="1C60D7C0">
      <w:pPr>
        <w:spacing w:line="520" w:lineRule="exact"/>
      </w:pPr>
      <w:r>
        <w:t>2</w:t>
      </w:r>
      <w:r>
        <w:rPr>
          <w:rFonts w:hint="eastAsia"/>
        </w:rPr>
        <w:t>、非欺诈性误报矿物产地</w:t>
      </w:r>
    </w:p>
    <w:p w14:paraId="4A419653">
      <w:pPr>
        <w:spacing w:line="520" w:lineRule="exact"/>
      </w:pPr>
      <w:r>
        <w:t>2. Non-fraud misstatement of mineral origin</w:t>
      </w:r>
    </w:p>
    <w:p w14:paraId="5130C31F">
      <w:pPr>
        <w:spacing w:line="520" w:lineRule="exact"/>
      </w:pPr>
      <w:r>
        <w:t>3</w:t>
      </w:r>
      <w:r>
        <w:rPr>
          <w:rFonts w:hint="eastAsia"/>
        </w:rPr>
        <w:t>、</w:t>
      </w:r>
      <w:r>
        <w:t xml:space="preserve"> </w:t>
      </w:r>
      <w:r>
        <w:rPr>
          <w:rFonts w:hint="eastAsia"/>
        </w:rPr>
        <w:t>未支付应付政府的税收、费用和特许权使用费</w:t>
      </w:r>
    </w:p>
    <w:p w14:paraId="56BA555A">
      <w:pPr>
        <w:spacing w:line="520" w:lineRule="exact"/>
      </w:pPr>
      <w:r>
        <w:t>3. Unpaid taxes, fees and royalties payable to the government</w:t>
      </w:r>
    </w:p>
    <w:p w14:paraId="45693669">
      <w:pPr>
        <w:spacing w:line="520" w:lineRule="exact"/>
      </w:pPr>
      <w:r>
        <w:t>5</w:t>
      </w:r>
      <w:r>
        <w:rPr>
          <w:rFonts w:hint="eastAsia"/>
        </w:rPr>
        <w:t>、严重违反与环境、健康、安全、劳工和社区有关的地方立法，及</w:t>
      </w:r>
      <w:r>
        <w:t>/</w:t>
      </w:r>
      <w:r>
        <w:rPr>
          <w:rFonts w:hint="eastAsia"/>
        </w:rPr>
        <w:t>或存在极有可能造成高度不利影响的</w:t>
      </w:r>
      <w:r>
        <w:t xml:space="preserve"> ESG </w:t>
      </w:r>
      <w:r>
        <w:rPr>
          <w:rFonts w:hint="eastAsia"/>
        </w:rPr>
        <w:t>风险。</w:t>
      </w:r>
    </w:p>
    <w:p w14:paraId="70593661">
      <w:pPr>
        <w:spacing w:line="520" w:lineRule="exact"/>
      </w:pPr>
      <w:r>
        <w:t>5. Serious violation of local legislation related to environment, health, safety, labor and community, and/or the existence of ESG risks that are highly likely to cause high adverse effects.</w:t>
      </w:r>
    </w:p>
    <w:p w14:paraId="29881815">
      <w:pPr>
        <w:spacing w:line="520" w:lineRule="exact"/>
      </w:pPr>
      <w:r>
        <w:rPr>
          <w:rFonts w:hint="eastAsia"/>
        </w:rPr>
        <w:t>对任何识别出的风险，公司将会与交易方和利益相关方进行沟通并制定相应的风险缓解计划，在风险缓解计划实施的过程中进行追踪和监控，确保计划的有效实施，风险缓解的进展也会汇报给高级管理层。</w:t>
      </w:r>
    </w:p>
    <w:p w14:paraId="6510A63C">
      <w:pPr>
        <w:spacing w:line="520" w:lineRule="exact"/>
        <w:ind w:firstLine="0" w:firstLineChars="0"/>
      </w:pPr>
      <w:r>
        <w:t>For any identified risk, the Company will communicate with the suppliers and stakeholders and develop corresponding risk mitigation plans, track and monitor the implementation of the risk mitigation plan, ensure the effective implementation of the plan, and report the risk mitigation progress to the senior management.</w:t>
      </w:r>
    </w:p>
    <w:p w14:paraId="4AC62603">
      <w:pPr>
        <w:spacing w:line="520" w:lineRule="exact"/>
      </w:pPr>
      <w:r>
        <w:rPr>
          <w:rFonts w:hint="eastAsia"/>
        </w:rPr>
        <w:t>因未识别出我公司黄金供应链中的高风险，因此无需制定并实施风险缓解计划。</w:t>
      </w:r>
    </w:p>
    <w:p w14:paraId="2EAD0F3E">
      <w:pPr>
        <w:spacing w:line="520" w:lineRule="exact"/>
        <w:ind w:firstLine="0" w:firstLineChars="0"/>
      </w:pPr>
      <w:r>
        <w:t>Since high risks in our gold supply chain have not been identified, there is no need to develop and implement the risk mitigation plan.</w:t>
      </w:r>
    </w:p>
    <w:p w14:paraId="402E824F">
      <w:pPr>
        <w:spacing w:line="520" w:lineRule="exact"/>
        <w:ind w:firstLine="422"/>
        <w:rPr>
          <w:b/>
          <w:bCs/>
        </w:rPr>
      </w:pPr>
      <w:r>
        <w:rPr>
          <w:rFonts w:hint="eastAsia"/>
          <w:b/>
          <w:bCs/>
        </w:rPr>
        <w:t>第四步 对精炼商的尽职调查实践开展独立的第三方审计</w:t>
      </w:r>
    </w:p>
    <w:p w14:paraId="5349E0CC">
      <w:pPr>
        <w:spacing w:line="520" w:lineRule="exact"/>
        <w:ind w:firstLine="422"/>
        <w:rPr>
          <w:b/>
          <w:bCs/>
        </w:rPr>
      </w:pPr>
      <w:r>
        <w:rPr>
          <w:b/>
          <w:bCs/>
        </w:rPr>
        <w:t>Step 4: Arrange for an independent third-party audit of the refiner due diligence</w:t>
      </w:r>
    </w:p>
    <w:p w14:paraId="5441D29E">
      <w:pPr>
        <w:spacing w:line="520" w:lineRule="exact"/>
      </w:pPr>
      <w:r>
        <w:rPr>
          <w:rFonts w:hint="eastAsia"/>
        </w:rPr>
        <w:t>合规声明与要求：</w:t>
      </w:r>
    </w:p>
    <w:p w14:paraId="7C39CF70">
      <w:pPr>
        <w:spacing w:line="520" w:lineRule="exact"/>
      </w:pPr>
      <w:r>
        <w:t>Compliance Statement with Requirement:</w:t>
      </w:r>
    </w:p>
    <w:p w14:paraId="50D7E5EF">
      <w:pPr>
        <w:spacing w:line="520" w:lineRule="exact"/>
      </w:pPr>
      <w:r>
        <w:rPr>
          <w:rFonts w:hint="eastAsia"/>
        </w:rPr>
        <w:t>我公司已经充分遵守第4步：安排供应链尽职调查的独立第三方审计。</w:t>
      </w:r>
    </w:p>
    <w:p w14:paraId="059CF165">
      <w:pPr>
        <w:spacing w:line="520" w:lineRule="exact"/>
        <w:ind w:firstLine="0" w:firstLineChars="0"/>
        <w:rPr>
          <w:rFonts w:ascii="楷体" w:hAnsi="楷体" w:cs="楷体"/>
        </w:rPr>
      </w:pPr>
      <w:r>
        <w:t>We have fully complied with Step 4: Arrange for an independent third-party audit of the supply chain due diligence</w:t>
      </w:r>
    </w:p>
    <w:p w14:paraId="70E574EC">
      <w:pPr>
        <w:spacing w:line="520" w:lineRule="exact"/>
      </w:pPr>
      <w:r>
        <w:rPr>
          <w:rFonts w:hint="eastAsia"/>
        </w:rPr>
        <w:t>公司严格遵守LBMA黄金责任指南第四步“对精炼商的尽职调查实践开展独立的第三方审计”的要求。</w:t>
      </w:r>
    </w:p>
    <w:p w14:paraId="2DC37BA5">
      <w:pPr>
        <w:spacing w:line="520" w:lineRule="exact"/>
        <w:rPr>
          <w:rFonts w:ascii="仿宋" w:hAnsi="仿宋" w:eastAsia="仿宋"/>
        </w:rPr>
      </w:pPr>
      <w:r>
        <w:rPr>
          <w:rFonts w:eastAsia="仿宋"/>
        </w:rPr>
        <w:t xml:space="preserve">We have strictly </w:t>
      </w:r>
      <w:r>
        <w:t xml:space="preserve">complied with </w:t>
      </w:r>
      <w:r>
        <w:rPr>
          <w:rFonts w:hint="eastAsia"/>
        </w:rPr>
        <w:t xml:space="preserve">requirements under </w:t>
      </w:r>
      <w:r>
        <w:t xml:space="preserve">Step </w:t>
      </w:r>
      <w:r>
        <w:rPr>
          <w:rFonts w:hint="eastAsia"/>
        </w:rPr>
        <w:t>4</w:t>
      </w:r>
      <w:r>
        <w:t xml:space="preserve"> “Arrange for an independent third-party audit of the refiner due diligence”</w:t>
      </w:r>
      <w:r>
        <w:rPr>
          <w:rFonts w:hint="eastAsia"/>
        </w:rPr>
        <w:t xml:space="preserve"> </w:t>
      </w:r>
      <w:r>
        <w:t>of LBMA Responsible Gold Guidance</w:t>
      </w:r>
      <w:r>
        <w:rPr>
          <w:rFonts w:hint="eastAsia"/>
        </w:rPr>
        <w:t>.</w:t>
      </w:r>
    </w:p>
    <w:p w14:paraId="3F6B30CC">
      <w:pPr>
        <w:spacing w:line="520" w:lineRule="exact"/>
      </w:pPr>
      <w:r>
        <w:rPr>
          <w:rFonts w:hint="eastAsia"/>
        </w:rPr>
        <w:t>自2010年开始，公司每年均聘请</w:t>
      </w:r>
      <w:r>
        <w:t>会计师事务所</w:t>
      </w:r>
      <w:r>
        <w:rPr>
          <w:rFonts w:hint="eastAsia"/>
        </w:rPr>
        <w:t>进行</w:t>
      </w:r>
      <w:r>
        <w:t>财务审计</w:t>
      </w:r>
      <w:r>
        <w:rPr>
          <w:rFonts w:hint="eastAsia"/>
        </w:rPr>
        <w:t>，并出具审计报告。</w:t>
      </w:r>
      <w:r>
        <w:t>2018</w:t>
      </w:r>
      <w:r>
        <w:rPr>
          <w:rFonts w:hint="eastAsia"/>
        </w:rPr>
        <w:t>-2020</w:t>
      </w:r>
      <w:r>
        <w:t>年</w:t>
      </w:r>
      <w:r>
        <w:rPr>
          <w:rFonts w:hint="eastAsia"/>
        </w:rPr>
        <w:t>聘请了</w:t>
      </w:r>
      <w:r>
        <w:t>致同会计师事务所（特殊普通合伙）云南分所</w:t>
      </w:r>
      <w:r>
        <w:rPr>
          <w:rFonts w:hint="eastAsia"/>
        </w:rPr>
        <w:t>进行审计，2021-2024年聘请了中审亚太会计师事务所（特殊普通合伙）云南分所进行审计。</w:t>
      </w:r>
    </w:p>
    <w:p w14:paraId="0E3BE35F">
      <w:pPr>
        <w:spacing w:line="520" w:lineRule="exact"/>
        <w:rPr>
          <w:rFonts w:eastAsia="仿宋"/>
        </w:rPr>
      </w:pPr>
      <w:r>
        <w:rPr>
          <w:rFonts w:eastAsia="仿宋"/>
        </w:rPr>
        <w:t xml:space="preserve">We </w:t>
      </w:r>
      <w:r>
        <w:rPr>
          <w:rFonts w:hint="eastAsia" w:eastAsia="仿宋"/>
        </w:rPr>
        <w:t xml:space="preserve">have engaged CPA to carry out financial audit annually since 2010. </w:t>
      </w:r>
      <w:r>
        <w:rPr>
          <w:rFonts w:eastAsia="仿宋"/>
        </w:rPr>
        <w:t>D</w:t>
      </w:r>
      <w:r>
        <w:rPr>
          <w:rFonts w:hint="eastAsia" w:eastAsia="仿宋"/>
        </w:rPr>
        <w:t xml:space="preserve">uring 2018 to 2020, we engaged </w:t>
      </w:r>
      <w:r>
        <w:t>Grant Thornton</w:t>
      </w:r>
      <w:r>
        <w:rPr>
          <w:rFonts w:hint="eastAsia"/>
        </w:rPr>
        <w:t xml:space="preserve"> to carry out financial audit and in</w:t>
      </w:r>
      <w:r>
        <w:t xml:space="preserve"> 2021-</w:t>
      </w:r>
      <w:r>
        <w:rPr>
          <w:rFonts w:hint="eastAsia"/>
        </w:rPr>
        <w:t xml:space="preserve"> 2024</w:t>
      </w:r>
      <w:r>
        <w:t xml:space="preserve"> </w:t>
      </w:r>
      <w:r>
        <w:rPr>
          <w:rFonts w:hint="eastAsia"/>
        </w:rPr>
        <w:t>we engaged China Audit Asia Pacific Certified Public Accountants LLP to carry out financial audit.</w:t>
      </w:r>
    </w:p>
    <w:p w14:paraId="2A8E5E26">
      <w:pPr>
        <w:spacing w:line="520" w:lineRule="exact"/>
      </w:pPr>
      <w:r>
        <w:rPr>
          <w:rFonts w:hint="eastAsia"/>
        </w:rPr>
        <w:t>自2021年</w:t>
      </w:r>
      <w:r>
        <w:t>起，</w:t>
      </w:r>
      <w:r>
        <w:rPr>
          <w:rFonts w:hint="eastAsia"/>
        </w:rPr>
        <w:t>聘请L</w:t>
      </w:r>
      <w:r>
        <w:t>BMA</w:t>
      </w:r>
      <w:r>
        <w:rPr>
          <w:rFonts w:hint="eastAsia"/>
        </w:rPr>
        <w:t>认可</w:t>
      </w:r>
      <w:r>
        <w:t>的</w:t>
      </w:r>
      <w:r>
        <w:rPr>
          <w:rFonts w:hint="eastAsia"/>
        </w:rPr>
        <w:t>第三方审计机构RCS对我</w:t>
      </w:r>
      <w:r>
        <w:t>公司进行</w:t>
      </w:r>
      <w:r>
        <w:rPr>
          <w:rFonts w:hint="eastAsia"/>
        </w:rPr>
        <w:t>尽职调查审计。2025年度我公司选择独立鉴证机构，首先是查询LBMA认可的独立鉴证机构名单，二是审查是其作为LBMA认可的保证提供商地位、在矿产负责任供应链领域的全球声誉和专业经验，三是公开向符合条件的审核服务商进行询价，综合对比评分后选定最终的审核服务商。经过对比，由我公司尽职调查委员会审核，决定选择SLR</w:t>
      </w:r>
      <w:r>
        <w:t>(</w:t>
      </w:r>
      <w:r>
        <w:rPr>
          <w:rFonts w:hint="eastAsia"/>
        </w:rPr>
        <w:t>以前的 RCS)作为我公司2025年度的独立鉴证机构。</w:t>
      </w:r>
    </w:p>
    <w:p w14:paraId="32BE98D8">
      <w:pPr>
        <w:spacing w:line="520" w:lineRule="exact"/>
      </w:pPr>
      <w:r>
        <w:rPr>
          <w:rFonts w:hint="eastAsia"/>
        </w:rPr>
        <w:t>Since 2021, our company has engaged RCS, a third-party audit firm accredited by LBMA, to conduct due diligence audits. For the 2025 cycle, we selected an independent assurance provider by first referring to the list of LBMA-accredited independent assurance providers, then evaluating their standing as LBMA-recognized assurance providers, their global reputation, and professional expertise in responsible mineral supply chains. Subsequently, we publicly solicited quotations from eligible audit service providers and, after a comprehensive comparison and scoring process, selected the final audit service provider. Following this review and comparison, our company’s Due Diligence Committee approved the selection of SLR （</w:t>
      </w:r>
      <w:r>
        <w:t>formerly RCS</w:t>
      </w:r>
      <w:r>
        <w:rPr>
          <w:rFonts w:hint="eastAsia"/>
        </w:rPr>
        <w:t>） as our independent assurance provider for the year 2025.</w:t>
      </w:r>
    </w:p>
    <w:p w14:paraId="54FA636B">
      <w:pPr>
        <w:spacing w:line="520" w:lineRule="exact"/>
      </w:pPr>
      <w:r>
        <w:rPr>
          <w:rFonts w:hint="eastAsia"/>
        </w:rPr>
        <w:t>四、 保证与不符合项披露</w:t>
      </w:r>
    </w:p>
    <w:p w14:paraId="24C4EE9E">
      <w:pPr>
        <w:spacing w:line="520" w:lineRule="exact"/>
      </w:pPr>
      <w:r>
        <w:rPr>
          <w:rFonts w:hint="eastAsia"/>
        </w:rPr>
        <w:t>IV. Assurance and Disclosure of Non-Conformance</w:t>
      </w:r>
    </w:p>
    <w:p w14:paraId="3202E8B5">
      <w:pPr>
        <w:spacing w:line="520" w:lineRule="exact"/>
      </w:pPr>
      <w:r>
        <w:rPr>
          <w:rFonts w:hint="eastAsia"/>
        </w:rPr>
        <w:t>1.1 独立性保证​</w:t>
      </w:r>
    </w:p>
    <w:p w14:paraId="34A64245">
      <w:pPr>
        <w:spacing w:line="520" w:lineRule="exact"/>
      </w:pPr>
      <w:r>
        <w:rPr>
          <w:rFonts w:hint="eastAsia"/>
        </w:rPr>
        <w:t>1.1 Independence Assurance​</w:t>
      </w:r>
    </w:p>
    <w:p w14:paraId="694914B9">
      <w:pPr>
        <w:spacing w:line="520" w:lineRule="exact"/>
      </w:pPr>
      <w:r>
        <w:rPr>
          <w:rFonts w:hint="eastAsia"/>
        </w:rPr>
        <w:t>为确保持续符合《负责任黄金指南》（RGG）的要求，本公司建立了独立的第三方保证机制。公司尽职管理委员会(总经理办公会)对保证服务的全过程进行监督，以确保其独立性与客观性，具体职责包括：直接参与并决策对LBMA认可的保证服务提供商的选聘；审阅及批准年度保证范围；审议最终保证报告。该监督机制旨在确保保证结论不受任何不当影响，真实、公正地反映本公司供应链尽责管理体系的有效性。</w:t>
      </w:r>
    </w:p>
    <w:p w14:paraId="33ACFE3C">
      <w:pPr>
        <w:spacing w:line="520" w:lineRule="exact"/>
      </w:pPr>
      <w:r>
        <w:rPr>
          <w:rFonts w:hint="eastAsia"/>
        </w:rPr>
        <w:t>To ensure ongoing conformance with the Responsible Gold Guidance (RGG), the company has established an independent third-party assurance mechanism. The Company’s Due Diligence Management Committee oversees the entire assurance process to ensure its independence and objectivity. Specific responsibilities include: directly participating in and making decisions regarding the selection of LBMA-recognized assurance providers (RCS); reviewing and approving the annual assurance scope; and deliberating on the final assurance report. This oversight mechanism is designed to ensure that the assurance conclusions are free from any undue influence and truthfully and impartially reflect the effectiveness of the company’s supply chain due diligence management system.</w:t>
      </w:r>
    </w:p>
    <w:p w14:paraId="0EA21566">
      <w:pPr>
        <w:spacing w:line="520" w:lineRule="exact"/>
      </w:pPr>
      <w:r>
        <w:rPr>
          <w:rFonts w:hint="eastAsia"/>
        </w:rPr>
        <w:t>1.2 不符合项披露​</w:t>
      </w:r>
    </w:p>
    <w:p w14:paraId="7B1B961C">
      <w:pPr>
        <w:spacing w:line="520" w:lineRule="exact"/>
      </w:pPr>
      <w:r>
        <w:rPr>
          <w:rFonts w:hint="eastAsia"/>
        </w:rPr>
        <w:t>1.2 Disclosure of Non-Conformance​</w:t>
      </w:r>
    </w:p>
    <w:p w14:paraId="6C5AA8E1">
      <w:pPr>
        <w:spacing w:line="520" w:lineRule="exact"/>
      </w:pPr>
      <w:r>
        <w:rPr>
          <w:rFonts w:hint="eastAsia"/>
        </w:rPr>
        <w:t>本公司承诺以透明的方式披露与《负责任黄金指南》（RGG）要求相关的任何重大不符合项。本公司承诺，在未来的任何审计周期中，一旦识别出重大不符合项，将在此章节进行详细披露，内容包括不符合项的性质、根本原因、潜在影响、已采取及拟采取的纠正与预防行动计划。在由 SLR</w:t>
      </w:r>
      <w:r>
        <w:t xml:space="preserve"> (以前</w:t>
      </w:r>
      <w:r>
        <w:rPr>
          <w:rFonts w:hint="eastAsia"/>
        </w:rPr>
        <w:t>的 RCS</w:t>
      </w:r>
      <w:r>
        <w:t>)</w:t>
      </w:r>
      <w:r>
        <w:rPr>
          <w:rFonts w:hint="eastAsia"/>
        </w:rPr>
        <w:t xml:space="preserve"> 进行的2024 年度和2025年度的鉴证评估中，</w:t>
      </w:r>
      <w:r>
        <w:t>云南滇金投资有限公司实施了有效的管理制度、程序、流程和实践，没有出现不符合体系机制的情况，总体运行较好，</w:t>
      </w:r>
      <w:r>
        <w:rPr>
          <w:rFonts w:hint="eastAsia"/>
        </w:rPr>
        <w:t>未发现任何不符合项</w:t>
      </w:r>
      <w:r>
        <w:t>。</w:t>
      </w:r>
    </w:p>
    <w:p w14:paraId="6D0DB18D">
      <w:pPr>
        <w:spacing w:line="520" w:lineRule="exact"/>
      </w:pPr>
      <w:r>
        <w:t>The Company commits to transparently disclosing any material non-conformances related to the requirements of the Responsible Gold Guidance (RGG). The Company further commits that, in any future audit cycles, should any material non-conformances be identified, detailed disclosures will be made in this section, including the nature of the non-conformance, root cause analysis, potential impacts, and the corrective and preventive action plans implemented or to be implemented.</w:t>
      </w:r>
      <w:r>
        <w:rPr>
          <w:rFonts w:hint="eastAsia"/>
        </w:rPr>
        <w:t xml:space="preserve"> </w:t>
      </w:r>
      <w:r>
        <w:t>During the 2024 and 2025 assurance assessments</w:t>
      </w:r>
      <w:r>
        <w:rPr>
          <w:rFonts w:hint="eastAsia"/>
        </w:rPr>
        <w:t xml:space="preserve"> that performed by SLR</w:t>
      </w:r>
      <w:r>
        <w:t xml:space="preserve"> (formerly RCS), Yunnan Dianjin Investment Co., Ltd. implemented effective management systems, procedures, processes, and practices. The overall operation of the management system was assessed as effective, and no non-conformances were identified.</w:t>
      </w:r>
    </w:p>
    <w:p w14:paraId="41616B21">
      <w:pPr>
        <w:spacing w:line="520" w:lineRule="exact"/>
        <w:ind w:firstLine="422"/>
        <w:rPr>
          <w:b/>
          <w:bCs/>
        </w:rPr>
      </w:pPr>
      <w:r>
        <w:rPr>
          <w:rFonts w:hint="eastAsia"/>
          <w:b/>
          <w:bCs/>
        </w:rPr>
        <w:t>第五步 供应链尽职调查年度报告</w:t>
      </w:r>
    </w:p>
    <w:p w14:paraId="5157A309">
      <w:pPr>
        <w:spacing w:line="520" w:lineRule="exact"/>
        <w:ind w:firstLine="422"/>
        <w:rPr>
          <w:b/>
          <w:bCs/>
        </w:rPr>
      </w:pPr>
      <w:r>
        <w:rPr>
          <w:b/>
          <w:bCs/>
        </w:rPr>
        <w:t xml:space="preserve">Step 5: </w:t>
      </w:r>
      <w:r>
        <w:rPr>
          <w:rFonts w:hint="eastAsia"/>
          <w:b/>
          <w:bCs/>
        </w:rPr>
        <w:t>Annual r</w:t>
      </w:r>
      <w:r>
        <w:rPr>
          <w:b/>
          <w:bCs/>
        </w:rPr>
        <w:t>eport on supply chain due diligence</w:t>
      </w:r>
    </w:p>
    <w:p w14:paraId="2A166624">
      <w:pPr>
        <w:spacing w:line="520" w:lineRule="exact"/>
      </w:pPr>
      <w:r>
        <w:rPr>
          <w:rFonts w:hint="eastAsia"/>
        </w:rPr>
        <w:t>合规声明与要求：</w:t>
      </w:r>
    </w:p>
    <w:p w14:paraId="38592CB3">
      <w:pPr>
        <w:spacing w:line="520" w:lineRule="exact"/>
      </w:pPr>
      <w:r>
        <w:t>Compliance Statement with Requirement:</w:t>
      </w:r>
    </w:p>
    <w:p w14:paraId="50149CA7">
      <w:pPr>
        <w:spacing w:line="520" w:lineRule="exact"/>
      </w:pPr>
      <w:r>
        <w:rPr>
          <w:rFonts w:hint="eastAsia"/>
        </w:rPr>
        <w:t>我公司已经充分遵守第5步：有关供应链尽职调查的报告。</w:t>
      </w:r>
    </w:p>
    <w:p w14:paraId="41CA9367">
      <w:pPr>
        <w:spacing w:line="520" w:lineRule="exact"/>
        <w:rPr>
          <w:rFonts w:ascii="楷体" w:hAnsi="楷体" w:cs="楷体"/>
        </w:rPr>
      </w:pPr>
      <w:r>
        <w:t>We have fully complied with Step 5: Report on supply chain due diligence.</w:t>
      </w:r>
    </w:p>
    <w:p w14:paraId="13859D01">
      <w:pPr>
        <w:spacing w:line="520" w:lineRule="exact"/>
      </w:pPr>
      <w:r>
        <w:rPr>
          <w:rFonts w:hint="eastAsia"/>
        </w:rPr>
        <w:t>公司严格遵守LBMA黄金责任指南第五步“供应链尽职调查年度报告”的要求，每</w:t>
      </w:r>
      <w:r>
        <w:t>年向</w:t>
      </w:r>
      <w:r>
        <w:rPr>
          <w:rFonts w:hint="eastAsia"/>
        </w:rPr>
        <w:t>LBMA</w:t>
      </w:r>
      <w:r>
        <w:t>提交年度合规报告</w:t>
      </w:r>
      <w:r>
        <w:rPr>
          <w:rFonts w:hint="eastAsia"/>
        </w:rPr>
        <w:t>,并</w:t>
      </w:r>
      <w:r>
        <w:t>在公司官网对</w:t>
      </w:r>
      <w:r>
        <w:rPr>
          <w:rFonts w:hint="eastAsia"/>
        </w:rPr>
        <w:t>每</w:t>
      </w:r>
      <w:r>
        <w:t>年</w:t>
      </w:r>
      <w:r>
        <w:rPr>
          <w:rFonts w:hint="eastAsia"/>
        </w:rPr>
        <w:t>供应链尽职管理合规报告</w:t>
      </w:r>
      <w:r>
        <w:t>进行公</w:t>
      </w:r>
      <w:r>
        <w:rPr>
          <w:rFonts w:hint="eastAsia"/>
        </w:rPr>
        <w:t>示</w:t>
      </w:r>
      <w:r>
        <w:t>。</w:t>
      </w:r>
      <w:r>
        <w:rPr>
          <w:rFonts w:hint="eastAsia"/>
        </w:rPr>
        <w:t>2020年度供应链尽职管理合规报告公示网址</w:t>
      </w:r>
      <w:r>
        <w:t>为：</w:t>
      </w:r>
      <w:r>
        <w:rPr>
          <w:rFonts w:hint="eastAsia"/>
        </w:rPr>
        <w:t xml:space="preserve">     </w:t>
      </w:r>
    </w:p>
    <w:p w14:paraId="07E4E6E4">
      <w:pPr>
        <w:spacing w:line="520" w:lineRule="exact"/>
        <w:rPr>
          <w:sz w:val="24"/>
        </w:rPr>
      </w:pPr>
      <w:r>
        <w:fldChar w:fldCharType="begin"/>
      </w:r>
      <w:r>
        <w:instrText xml:space="preserve"> HYPERLINK "https://www.ygmg.net/154/230/content_1328.html" </w:instrText>
      </w:r>
      <w:r>
        <w:fldChar w:fldCharType="separate"/>
      </w:r>
      <w:r>
        <w:rPr>
          <w:rStyle w:val="18"/>
          <w:rFonts w:ascii="仿宋" w:hAnsi="仿宋" w:eastAsia="仿宋"/>
          <w:color w:val="auto"/>
          <w:sz w:val="24"/>
        </w:rPr>
        <w:t>https://www.ygmg.net/154/230/content_1328.html</w:t>
      </w:r>
      <w:r>
        <w:rPr>
          <w:rStyle w:val="18"/>
          <w:rFonts w:ascii="仿宋" w:hAnsi="仿宋" w:eastAsia="仿宋"/>
          <w:color w:val="auto"/>
          <w:sz w:val="24"/>
        </w:rPr>
        <w:fldChar w:fldCharType="end"/>
      </w:r>
      <w:r>
        <w:rPr>
          <w:sz w:val="24"/>
        </w:rPr>
        <w:t xml:space="preserve"> </w:t>
      </w:r>
      <w:r>
        <w:rPr>
          <w:rFonts w:hint="eastAsia"/>
          <w:sz w:val="24"/>
        </w:rPr>
        <w:t xml:space="preserve">; </w:t>
      </w:r>
    </w:p>
    <w:p w14:paraId="737A5CCA">
      <w:pPr>
        <w:spacing w:line="520" w:lineRule="exact"/>
        <w:ind w:left="399" w:leftChars="190" w:firstLine="0" w:firstLineChars="0"/>
        <w:jc w:val="left"/>
        <w:rPr>
          <w:sz w:val="24"/>
        </w:rPr>
      </w:pPr>
      <w:r>
        <w:rPr>
          <w:rFonts w:hint="eastAsia"/>
        </w:rPr>
        <w:t>202</w:t>
      </w:r>
      <w:r>
        <w:t>1</w:t>
      </w:r>
      <w:r>
        <w:rPr>
          <w:rFonts w:hint="eastAsia"/>
        </w:rPr>
        <w:t>年度供应链尽职管理合规报告公示网址</w:t>
      </w:r>
      <w:r>
        <w:t>为</w:t>
      </w:r>
      <w:r>
        <w:rPr>
          <w:rFonts w:hint="eastAsia"/>
        </w:rPr>
        <w:t xml:space="preserve">：   </w:t>
      </w:r>
      <w:r>
        <w:fldChar w:fldCharType="begin"/>
      </w:r>
      <w:r>
        <w:instrText xml:space="preserve"> HYPERLINK "https://www.ygmg.net/154/230/content_1329.html" </w:instrText>
      </w:r>
      <w:r>
        <w:fldChar w:fldCharType="separate"/>
      </w:r>
      <w:r>
        <w:rPr>
          <w:rStyle w:val="17"/>
          <w:rFonts w:ascii="仿宋" w:hAnsi="仿宋" w:eastAsia="仿宋"/>
          <w:color w:val="auto"/>
          <w:sz w:val="24"/>
        </w:rPr>
        <w:t>https://www.ygmg.net/154/230/content_1329.html</w:t>
      </w:r>
      <w:r>
        <w:rPr>
          <w:rStyle w:val="17"/>
          <w:rFonts w:ascii="仿宋" w:hAnsi="仿宋" w:eastAsia="仿宋"/>
          <w:color w:val="auto"/>
          <w:sz w:val="24"/>
        </w:rPr>
        <w:fldChar w:fldCharType="end"/>
      </w:r>
      <w:r>
        <w:rPr>
          <w:rStyle w:val="18"/>
          <w:rFonts w:hint="eastAsia" w:ascii="仿宋" w:hAnsi="仿宋" w:eastAsia="仿宋"/>
          <w:color w:val="auto"/>
          <w:sz w:val="24"/>
        </w:rPr>
        <w:t xml:space="preserve">; </w:t>
      </w:r>
    </w:p>
    <w:p w14:paraId="3846B8C7">
      <w:pPr>
        <w:spacing w:line="520" w:lineRule="exact"/>
      </w:pPr>
      <w:r>
        <w:rPr>
          <w:rFonts w:hint="eastAsia"/>
        </w:rPr>
        <w:t>2022年度供应链尽职管理合规报告公示网址</w:t>
      </w:r>
      <w:r>
        <w:t>为</w:t>
      </w:r>
      <w:r>
        <w:rPr>
          <w:rFonts w:hint="eastAsia"/>
        </w:rPr>
        <w:t>：</w:t>
      </w:r>
    </w:p>
    <w:p w14:paraId="0C2B8CD4">
      <w:pPr>
        <w:spacing w:line="520" w:lineRule="exact"/>
        <w:rPr>
          <w:rFonts w:ascii="仿宋" w:hAnsi="仿宋" w:eastAsia="仿宋"/>
          <w:sz w:val="24"/>
          <w:u w:val="single"/>
        </w:rPr>
      </w:pPr>
      <w:r>
        <w:fldChar w:fldCharType="begin"/>
      </w:r>
      <w:r>
        <w:instrText xml:space="preserve"> HYPERLINK "https://www.ygmg.net/154/230/content_1557.html;" </w:instrText>
      </w:r>
      <w:r>
        <w:fldChar w:fldCharType="separate"/>
      </w:r>
      <w:r>
        <w:rPr>
          <w:rStyle w:val="18"/>
          <w:rFonts w:ascii="仿宋" w:hAnsi="仿宋" w:eastAsia="仿宋"/>
          <w:color w:val="auto"/>
          <w:sz w:val="24"/>
        </w:rPr>
        <w:t>https://www.ygmg.net/154/230/content_1557.html;</w:t>
      </w:r>
      <w:r>
        <w:rPr>
          <w:rStyle w:val="18"/>
          <w:rFonts w:ascii="仿宋" w:hAnsi="仿宋" w:eastAsia="仿宋"/>
          <w:color w:val="auto"/>
          <w:sz w:val="24"/>
        </w:rPr>
        <w:fldChar w:fldCharType="end"/>
      </w:r>
      <w:r>
        <w:rPr>
          <w:rFonts w:ascii="仿宋" w:hAnsi="仿宋" w:eastAsia="仿宋"/>
          <w:sz w:val="24"/>
          <w:u w:val="single"/>
        </w:rPr>
        <w:t xml:space="preserve"> </w:t>
      </w:r>
    </w:p>
    <w:p w14:paraId="7DC64F05">
      <w:pPr>
        <w:spacing w:line="520" w:lineRule="exact"/>
      </w:pPr>
      <w:r>
        <w:rPr>
          <w:rFonts w:hint="eastAsia"/>
        </w:rPr>
        <w:t>2023年度供应链尽职管理合规报告公示网址</w:t>
      </w:r>
      <w:r>
        <w:t>为</w:t>
      </w:r>
      <w:r>
        <w:rPr>
          <w:rFonts w:hint="eastAsia"/>
        </w:rPr>
        <w:t>：</w:t>
      </w:r>
    </w:p>
    <w:p w14:paraId="3BD260E3">
      <w:pPr>
        <w:spacing w:line="520" w:lineRule="exact"/>
        <w:rPr>
          <w:rFonts w:ascii="仿宋" w:hAnsi="仿宋" w:eastAsia="仿宋"/>
          <w:sz w:val="24"/>
          <w:u w:val="single"/>
        </w:rPr>
      </w:pPr>
      <w:r>
        <w:fldChar w:fldCharType="begin"/>
      </w:r>
      <w:r>
        <w:instrText xml:space="preserve"> HYPERLINK "https://www.ygmg.net/154/167/content_1769.html" </w:instrText>
      </w:r>
      <w:r>
        <w:fldChar w:fldCharType="separate"/>
      </w:r>
      <w:r>
        <w:rPr>
          <w:rStyle w:val="18"/>
          <w:rFonts w:hint="eastAsia" w:ascii="仿宋" w:hAnsi="仿宋" w:eastAsia="仿宋"/>
          <w:color w:val="auto"/>
          <w:sz w:val="24"/>
        </w:rPr>
        <w:t>https://www.ygmg.net/154/167/content_1769.html</w:t>
      </w:r>
      <w:r>
        <w:rPr>
          <w:rStyle w:val="18"/>
          <w:rFonts w:hint="eastAsia" w:ascii="仿宋" w:hAnsi="仿宋" w:eastAsia="仿宋"/>
          <w:color w:val="auto"/>
          <w:sz w:val="24"/>
        </w:rPr>
        <w:fldChar w:fldCharType="end"/>
      </w:r>
    </w:p>
    <w:p w14:paraId="10DBB7DD">
      <w:pPr>
        <w:spacing w:line="520" w:lineRule="exact"/>
      </w:pPr>
      <w:r>
        <w:rPr>
          <w:rFonts w:hint="eastAsia"/>
        </w:rPr>
        <w:t>2024年度供应链尽职管理合规报告公示网址</w:t>
      </w:r>
      <w:r>
        <w:t>为</w:t>
      </w:r>
      <w:r>
        <w:rPr>
          <w:rFonts w:hint="eastAsia"/>
        </w:rPr>
        <w:t>：</w:t>
      </w:r>
    </w:p>
    <w:p w14:paraId="58295321">
      <w:pPr>
        <w:spacing w:line="520" w:lineRule="exact"/>
        <w:rPr>
          <w:rFonts w:ascii="仿宋" w:hAnsi="仿宋" w:eastAsia="仿宋"/>
          <w:sz w:val="24"/>
          <w:u w:val="single"/>
        </w:rPr>
      </w:pPr>
      <w:r>
        <w:fldChar w:fldCharType="begin"/>
      </w:r>
      <w:r>
        <w:instrText xml:space="preserve"> HYPERLINK "https://www.ygmg.net/154/167/content_1951.html" </w:instrText>
      </w:r>
      <w:r>
        <w:fldChar w:fldCharType="separate"/>
      </w:r>
      <w:r>
        <w:rPr>
          <w:rStyle w:val="17"/>
          <w:rFonts w:ascii="仿宋" w:hAnsi="仿宋" w:eastAsia="仿宋"/>
          <w:color w:val="auto"/>
          <w:sz w:val="24"/>
        </w:rPr>
        <w:t>https://www.ygmg.net/154/167/content_1951.html</w:t>
      </w:r>
      <w:r>
        <w:rPr>
          <w:rStyle w:val="17"/>
          <w:rFonts w:ascii="仿宋" w:hAnsi="仿宋" w:eastAsia="仿宋"/>
          <w:color w:val="auto"/>
          <w:sz w:val="24"/>
        </w:rPr>
        <w:fldChar w:fldCharType="end"/>
      </w:r>
      <w:r>
        <w:rPr>
          <w:rFonts w:hint="eastAsia" w:ascii="仿宋" w:hAnsi="仿宋" w:eastAsia="仿宋"/>
          <w:sz w:val="24"/>
          <w:u w:val="single"/>
        </w:rPr>
        <w:t xml:space="preserve"> </w:t>
      </w:r>
    </w:p>
    <w:p w14:paraId="4466FB85">
      <w:pPr>
        <w:spacing w:line="520" w:lineRule="exact"/>
      </w:pPr>
      <w:r>
        <w:rPr>
          <w:rFonts w:hint="eastAsia"/>
        </w:rPr>
        <w:t>2025年</w:t>
      </w:r>
      <w:r>
        <w:t>度</w:t>
      </w:r>
      <w:r>
        <w:rPr>
          <w:rFonts w:hint="eastAsia"/>
        </w:rPr>
        <w:t>供应链尽职管理</w:t>
      </w:r>
      <w:r>
        <w:t>合规报告</w:t>
      </w:r>
      <w:r>
        <w:rPr>
          <w:rFonts w:hint="eastAsia"/>
        </w:rPr>
        <w:t>审核</w:t>
      </w:r>
      <w:r>
        <w:t>完成后将</w:t>
      </w:r>
      <w:r>
        <w:rPr>
          <w:rFonts w:hint="eastAsia"/>
        </w:rPr>
        <w:t>按</w:t>
      </w:r>
      <w:r>
        <w:t>要求公布于</w:t>
      </w:r>
      <w:r>
        <w:rPr>
          <w:rFonts w:hint="eastAsia"/>
        </w:rPr>
        <w:t>云</w:t>
      </w:r>
      <w:r>
        <w:t>金集团官网</w:t>
      </w:r>
      <w:r>
        <w:rPr>
          <w:rFonts w:hint="eastAsia"/>
        </w:rPr>
        <w:t>，网址为：2024年度RCS出具的年度《保证报告》按</w:t>
      </w:r>
      <w:r>
        <w:t>要求公布于</w:t>
      </w:r>
      <w:r>
        <w:rPr>
          <w:rFonts w:hint="eastAsia"/>
        </w:rPr>
        <w:t>LBMA</w:t>
      </w:r>
      <w:r>
        <w:t>官网</w:t>
      </w:r>
      <w:r>
        <w:rPr>
          <w:rFonts w:hint="eastAsia"/>
        </w:rPr>
        <w:t>，网址为：Good Delivery Current List | LBMA</w:t>
      </w:r>
    </w:p>
    <w:p w14:paraId="3DCBF1B0">
      <w:pPr>
        <w:spacing w:line="520" w:lineRule="exact"/>
      </w:pPr>
      <w:r>
        <w:rPr>
          <w:rFonts w:hint="eastAsia"/>
        </w:rPr>
        <w:t>https://www.lbma.org.uk/good-delivery/gold-current-list#%7B%22filters%22%3A%5B%7B%22property%22%3A%22country%22%2C%22label%22%3A%22China%22%7D%5D%7D</w:t>
      </w:r>
    </w:p>
    <w:p w14:paraId="5403B4A5">
      <w:pPr>
        <w:spacing w:line="520" w:lineRule="exact"/>
      </w:pPr>
      <w:r>
        <w:rPr>
          <w:rFonts w:eastAsia="仿宋"/>
        </w:rPr>
        <w:t xml:space="preserve">We have strictly </w:t>
      </w:r>
      <w:r>
        <w:t xml:space="preserve">complied with </w:t>
      </w:r>
      <w:r>
        <w:rPr>
          <w:rFonts w:hint="eastAsia"/>
        </w:rPr>
        <w:t>requirements under 5</w:t>
      </w:r>
      <w:r>
        <w:t xml:space="preserve"> step “Report on supply chain due diligence”</w:t>
      </w:r>
      <w:r>
        <w:rPr>
          <w:rFonts w:hint="eastAsia"/>
        </w:rPr>
        <w:t xml:space="preserve"> </w:t>
      </w:r>
      <w:r>
        <w:t>of LBMA Responsible Gold Guidance</w:t>
      </w:r>
      <w:r>
        <w:rPr>
          <w:rFonts w:hint="eastAsia"/>
        </w:rPr>
        <w:t xml:space="preserve"> and submit annual compliance report to LBMA </w:t>
      </w:r>
      <w:r>
        <w:t>each</w:t>
      </w:r>
      <w:r>
        <w:rPr>
          <w:rFonts w:hint="eastAsia"/>
        </w:rPr>
        <w:t xml:space="preserve"> year.</w:t>
      </w:r>
      <w:r>
        <w:t xml:space="preserve"> And our company show Report on supply chain due diligence detail on our company website.</w:t>
      </w:r>
    </w:p>
    <w:p w14:paraId="2D35F143">
      <w:pPr>
        <w:spacing w:line="520" w:lineRule="exact"/>
        <w:ind w:firstLine="0" w:firstLineChars="0"/>
      </w:pPr>
      <w:r>
        <w:t>The company website</w:t>
      </w:r>
      <w:r>
        <w:rPr>
          <w:rFonts w:hint="eastAsia"/>
        </w:rPr>
        <w:t xml:space="preserve"> link</w:t>
      </w:r>
      <w:r>
        <w:t xml:space="preserve">l about “2020 Supply Chain Due Diligence Management Compliance Report” </w:t>
      </w:r>
    </w:p>
    <w:p w14:paraId="09757095">
      <w:pPr>
        <w:spacing w:line="520" w:lineRule="exact"/>
        <w:rPr>
          <w:rFonts w:ascii="仿宋" w:hAnsi="仿宋" w:eastAsia="仿宋"/>
          <w:sz w:val="24"/>
        </w:rPr>
      </w:pPr>
      <w:r>
        <w:fldChar w:fldCharType="begin"/>
      </w:r>
      <w:r>
        <w:instrText xml:space="preserve"> HYPERLINK "https://www.ygmg.net/154/230/content_1328.html" </w:instrText>
      </w:r>
      <w:r>
        <w:fldChar w:fldCharType="separate"/>
      </w:r>
      <w:r>
        <w:rPr>
          <w:rStyle w:val="18"/>
          <w:rFonts w:ascii="仿宋" w:hAnsi="仿宋" w:eastAsia="仿宋"/>
          <w:color w:val="auto"/>
          <w:sz w:val="24"/>
        </w:rPr>
        <w:t>https://www.ygmg.net/154/230/content_1328.html</w:t>
      </w:r>
      <w:r>
        <w:rPr>
          <w:rStyle w:val="18"/>
          <w:rFonts w:ascii="仿宋" w:hAnsi="仿宋" w:eastAsia="仿宋"/>
          <w:color w:val="auto"/>
          <w:sz w:val="24"/>
        </w:rPr>
        <w:fldChar w:fldCharType="end"/>
      </w:r>
    </w:p>
    <w:p w14:paraId="796CC46A">
      <w:pPr>
        <w:spacing w:line="520" w:lineRule="exact"/>
        <w:ind w:firstLine="0" w:firstLineChars="0"/>
      </w:pPr>
      <w:r>
        <w:t xml:space="preserve">The company website </w:t>
      </w:r>
      <w:r>
        <w:rPr>
          <w:rFonts w:hint="eastAsia"/>
        </w:rPr>
        <w:t>link</w:t>
      </w:r>
      <w:r>
        <w:t xml:space="preserve"> about “202</w:t>
      </w:r>
      <w:r>
        <w:rPr>
          <w:rFonts w:hint="eastAsia"/>
        </w:rPr>
        <w:t>1</w:t>
      </w:r>
      <w:r>
        <w:t xml:space="preserve"> Supply Chain Due Diligence Management Compliance Report”</w:t>
      </w:r>
    </w:p>
    <w:p w14:paraId="5CB810DD">
      <w:pPr>
        <w:spacing w:line="520" w:lineRule="exact"/>
        <w:rPr>
          <w:rStyle w:val="18"/>
          <w:rFonts w:ascii="仿宋" w:hAnsi="仿宋" w:eastAsia="仿宋"/>
          <w:color w:val="auto"/>
          <w:sz w:val="24"/>
        </w:rPr>
      </w:pPr>
      <w:r>
        <w:fldChar w:fldCharType="begin"/>
      </w:r>
      <w:r>
        <w:instrText xml:space="preserve"> HYPERLINK "https://www.ygmg.net/154/230/content_1329.html" </w:instrText>
      </w:r>
      <w:r>
        <w:fldChar w:fldCharType="separate"/>
      </w:r>
      <w:r>
        <w:rPr>
          <w:rStyle w:val="18"/>
          <w:rFonts w:ascii="仿宋" w:hAnsi="仿宋" w:eastAsia="仿宋"/>
          <w:color w:val="auto"/>
          <w:sz w:val="24"/>
        </w:rPr>
        <w:t>https://www.ygmg.net/154/230/content_1329.html</w:t>
      </w:r>
      <w:r>
        <w:rPr>
          <w:rStyle w:val="18"/>
          <w:rFonts w:ascii="仿宋" w:hAnsi="仿宋" w:eastAsia="仿宋"/>
          <w:color w:val="auto"/>
          <w:sz w:val="24"/>
        </w:rPr>
        <w:fldChar w:fldCharType="end"/>
      </w:r>
    </w:p>
    <w:p w14:paraId="1C6BDFF4">
      <w:pPr>
        <w:spacing w:line="520" w:lineRule="exact"/>
        <w:ind w:firstLine="0" w:firstLineChars="0"/>
      </w:pPr>
      <w:r>
        <w:t xml:space="preserve">The company website </w:t>
      </w:r>
      <w:r>
        <w:rPr>
          <w:rFonts w:hint="eastAsia"/>
        </w:rPr>
        <w:t>link</w:t>
      </w:r>
      <w:r>
        <w:t xml:space="preserve"> about “</w:t>
      </w:r>
      <w:r>
        <w:rPr>
          <w:rFonts w:hint="eastAsia"/>
        </w:rPr>
        <w:t>2022</w:t>
      </w:r>
      <w:r>
        <w:t xml:space="preserve"> Supply Chain Due Diligence Management Compliance Report”</w:t>
      </w:r>
    </w:p>
    <w:p w14:paraId="717B5C2B">
      <w:pPr>
        <w:spacing w:line="520" w:lineRule="exact"/>
        <w:rPr>
          <w:rFonts w:ascii="仿宋" w:hAnsi="仿宋" w:eastAsia="仿宋"/>
          <w:sz w:val="24"/>
          <w:u w:val="single"/>
        </w:rPr>
      </w:pPr>
      <w:r>
        <w:fldChar w:fldCharType="begin"/>
      </w:r>
      <w:r>
        <w:instrText xml:space="preserve"> HYPERLINK "https://www.ygmg.net/154/230/content_1557.html;" </w:instrText>
      </w:r>
      <w:r>
        <w:fldChar w:fldCharType="separate"/>
      </w:r>
      <w:r>
        <w:rPr>
          <w:rStyle w:val="18"/>
          <w:rFonts w:hint="eastAsia" w:ascii="仿宋" w:hAnsi="仿宋" w:eastAsia="仿宋"/>
          <w:color w:val="auto"/>
          <w:sz w:val="24"/>
        </w:rPr>
        <w:t>https://www.ygmg.net/154/230/content_1557.html;</w:t>
      </w:r>
      <w:r>
        <w:rPr>
          <w:rStyle w:val="18"/>
          <w:rFonts w:hint="eastAsia" w:ascii="仿宋" w:hAnsi="仿宋" w:eastAsia="仿宋"/>
          <w:color w:val="auto"/>
          <w:sz w:val="24"/>
        </w:rPr>
        <w:fldChar w:fldCharType="end"/>
      </w:r>
      <w:r>
        <w:rPr>
          <w:rFonts w:hint="eastAsia" w:ascii="仿宋" w:hAnsi="仿宋" w:eastAsia="仿宋"/>
          <w:sz w:val="24"/>
          <w:u w:val="single"/>
        </w:rPr>
        <w:t xml:space="preserve"> </w:t>
      </w:r>
    </w:p>
    <w:p w14:paraId="248BD73B">
      <w:pPr>
        <w:spacing w:line="520" w:lineRule="exact"/>
      </w:pPr>
      <w:r>
        <w:t xml:space="preserve">The company website </w:t>
      </w:r>
      <w:r>
        <w:rPr>
          <w:rFonts w:hint="eastAsia"/>
        </w:rPr>
        <w:t>link</w:t>
      </w:r>
      <w:r>
        <w:t xml:space="preserve"> about “</w:t>
      </w:r>
      <w:r>
        <w:rPr>
          <w:rFonts w:hint="eastAsia"/>
        </w:rPr>
        <w:t>2023</w:t>
      </w:r>
      <w:r>
        <w:t xml:space="preserve"> Supply Chain Due Diligence Management Compliance Report”</w:t>
      </w:r>
    </w:p>
    <w:p w14:paraId="23CCC4C8">
      <w:pPr>
        <w:spacing w:line="520" w:lineRule="exact"/>
        <w:rPr>
          <w:rFonts w:ascii="仿宋" w:hAnsi="仿宋" w:eastAsia="仿宋"/>
          <w:sz w:val="24"/>
          <w:u w:val="single"/>
        </w:rPr>
      </w:pPr>
      <w:r>
        <w:fldChar w:fldCharType="begin"/>
      </w:r>
      <w:r>
        <w:instrText xml:space="preserve"> HYPERLINK "https://www.ygmg.net/154/167/content_1769.html" </w:instrText>
      </w:r>
      <w:r>
        <w:fldChar w:fldCharType="separate"/>
      </w:r>
      <w:r>
        <w:rPr>
          <w:rStyle w:val="18"/>
          <w:rFonts w:hint="eastAsia" w:ascii="仿宋" w:hAnsi="仿宋" w:eastAsia="仿宋"/>
          <w:color w:val="auto"/>
          <w:sz w:val="24"/>
        </w:rPr>
        <w:t>https://www.ygmg.net/154/167/content_1769.html</w:t>
      </w:r>
      <w:r>
        <w:rPr>
          <w:rStyle w:val="18"/>
          <w:rFonts w:hint="eastAsia" w:ascii="仿宋" w:hAnsi="仿宋" w:eastAsia="仿宋"/>
          <w:color w:val="auto"/>
          <w:sz w:val="24"/>
        </w:rPr>
        <w:fldChar w:fldCharType="end"/>
      </w:r>
    </w:p>
    <w:p w14:paraId="01A5F80A">
      <w:pPr>
        <w:spacing w:line="520" w:lineRule="exact"/>
      </w:pPr>
      <w:r>
        <w:rPr>
          <w:rFonts w:hint="eastAsia"/>
        </w:rPr>
        <w:t>2024年度供应链尽职管理合规报告公示网址</w:t>
      </w:r>
      <w:r>
        <w:t>为</w:t>
      </w:r>
      <w:r>
        <w:rPr>
          <w:rFonts w:hint="eastAsia"/>
        </w:rPr>
        <w:t>：</w:t>
      </w:r>
    </w:p>
    <w:p w14:paraId="572940C4">
      <w:pPr>
        <w:spacing w:line="520" w:lineRule="exact"/>
        <w:rPr>
          <w:rFonts w:ascii="仿宋" w:hAnsi="仿宋" w:eastAsia="仿宋"/>
          <w:sz w:val="24"/>
          <w:u w:val="single"/>
        </w:rPr>
      </w:pPr>
      <w:r>
        <w:fldChar w:fldCharType="begin"/>
      </w:r>
      <w:r>
        <w:instrText xml:space="preserve"> HYPERLINK "https://www.ygmg.net/154/167/content_1951.html" </w:instrText>
      </w:r>
      <w:r>
        <w:fldChar w:fldCharType="separate"/>
      </w:r>
      <w:r>
        <w:rPr>
          <w:rStyle w:val="17"/>
          <w:rFonts w:ascii="仿宋" w:hAnsi="仿宋" w:eastAsia="仿宋"/>
          <w:color w:val="auto"/>
          <w:sz w:val="24"/>
        </w:rPr>
        <w:t>https://www.ygmg.net/154/167/content_1951.html</w:t>
      </w:r>
      <w:r>
        <w:rPr>
          <w:rStyle w:val="17"/>
          <w:rFonts w:ascii="仿宋" w:hAnsi="仿宋" w:eastAsia="仿宋"/>
          <w:color w:val="auto"/>
          <w:sz w:val="24"/>
        </w:rPr>
        <w:fldChar w:fldCharType="end"/>
      </w:r>
      <w:r>
        <w:rPr>
          <w:rFonts w:hint="eastAsia" w:ascii="仿宋" w:hAnsi="仿宋" w:eastAsia="仿宋"/>
          <w:sz w:val="24"/>
          <w:u w:val="single"/>
        </w:rPr>
        <w:t xml:space="preserve"> </w:t>
      </w:r>
    </w:p>
    <w:p w14:paraId="64A694B1">
      <w:pPr>
        <w:spacing w:line="520" w:lineRule="exact"/>
        <w:jc w:val="left"/>
      </w:pPr>
      <w:r>
        <w:t xml:space="preserve">After the review of the </w:t>
      </w:r>
      <w:r>
        <w:rPr>
          <w:rFonts w:hint="eastAsia"/>
        </w:rPr>
        <w:t>2025</w:t>
      </w:r>
      <w:r>
        <w:t xml:space="preserve"> supply chain due diligence management compliance report, it will be published on the official website of </w:t>
      </w:r>
      <w:r>
        <w:rPr>
          <w:rFonts w:hint="eastAsia"/>
        </w:rPr>
        <w:t xml:space="preserve">Yunnan Gold </w:t>
      </w:r>
      <w:r>
        <w:t>Group as required. The</w:t>
      </w:r>
      <w:r>
        <w:rPr>
          <w:rFonts w:hint="eastAsia"/>
        </w:rPr>
        <w:t xml:space="preserve"> annual "Guarantee Report" issued by RCS in 2024 was published on the LBMA website as required. The website address is: https://www.lbma.org.uk/good-delivery/gold-current-list#%7B%22filters%22%3A%5B%7B%22property%22%3A%22country%22%2C%22label%22%3A%22China%22%7D%5D%7D</w:t>
      </w:r>
    </w:p>
    <w:p w14:paraId="65A32869">
      <w:pPr>
        <w:pStyle w:val="20"/>
        <w:spacing w:line="520" w:lineRule="exact"/>
        <w:ind w:firstLine="422"/>
        <w:jc w:val="left"/>
        <w:rPr>
          <w:b/>
          <w:bCs/>
        </w:rPr>
      </w:pPr>
      <w:r>
        <w:rPr>
          <w:rFonts w:hint="eastAsia"/>
          <w:b/>
          <w:bCs/>
        </w:rPr>
        <w:t>五、管理结论</w:t>
      </w:r>
    </w:p>
    <w:p w14:paraId="3F522361">
      <w:pPr>
        <w:spacing w:line="520" w:lineRule="exact"/>
        <w:ind w:firstLine="422"/>
        <w:rPr>
          <w:b/>
          <w:bCs/>
        </w:rPr>
      </w:pPr>
      <w:r>
        <w:rPr>
          <w:b/>
          <w:bCs/>
        </w:rPr>
        <w:t>V. Management conclusion</w:t>
      </w:r>
    </w:p>
    <w:p w14:paraId="4D2414E8">
      <w:pPr>
        <w:spacing w:line="520" w:lineRule="exact"/>
      </w:pPr>
      <w:r>
        <w:rPr>
          <w:rFonts w:hint="eastAsia"/>
        </w:rPr>
        <w:t>综上所述，在报告年度截至2025年12月31日的财年内，根据《伦敦金银市场协会（LBMA）可靠黄金指导原则》的要求，云南滇金投资有限公司实施了有效的管理制度、程序、流程和实践。公司致力于不断的改进提升，所有的纠正措施将在内部进行定期监测。纠正性行动计划单独传达给LBMA执行机构，以及《伦敦金银市场协会（LBMA）可靠黄金指导原则》的管理人员。</w:t>
      </w:r>
    </w:p>
    <w:p w14:paraId="7C42EBDC">
      <w:pPr>
        <w:spacing w:line="520" w:lineRule="exact"/>
      </w:pPr>
      <w:r>
        <w:rPr>
          <w:rFonts w:hint="eastAsia"/>
        </w:rPr>
        <w:t>In conclusion, for the fiscal year ended December 31, 2025, Yunnan Dianjin Investment Co., Ltd. has implemented effective management systems, procedures, processes, and practices in accordance with the requirements of the London Bullion Market Association (LBMA) Responsible Gold Guidance. The company remains committed to continuous improvement, and all corrective actions are monitored internally on a regular basis. Corrective action plans are communicated separately to the LBMA's executive body and the administrators of the LBMA Responsible Gold Guidance.</w:t>
      </w:r>
    </w:p>
    <w:p w14:paraId="2E5F401F">
      <w:pPr>
        <w:spacing w:line="520" w:lineRule="exact"/>
        <w:ind w:firstLine="422"/>
        <w:rPr>
          <w:b/>
          <w:bCs/>
        </w:rPr>
      </w:pPr>
      <w:r>
        <w:rPr>
          <w:rFonts w:hint="eastAsia"/>
          <w:b/>
          <w:bCs/>
        </w:rPr>
        <w:t>六、其他报告批注</w:t>
      </w:r>
    </w:p>
    <w:p w14:paraId="172BC001">
      <w:pPr>
        <w:spacing w:line="520" w:lineRule="exact"/>
        <w:ind w:firstLine="422"/>
        <w:rPr>
          <w:b/>
          <w:bCs/>
        </w:rPr>
      </w:pPr>
      <w:r>
        <w:rPr>
          <w:rFonts w:hint="eastAsia"/>
          <w:b/>
          <w:bCs/>
        </w:rPr>
        <w:t>6. Other report comments</w:t>
      </w:r>
    </w:p>
    <w:p w14:paraId="04719892">
      <w:pPr>
        <w:spacing w:line="520" w:lineRule="exact"/>
      </w:pPr>
      <w:r>
        <w:rPr>
          <w:rFonts w:hint="eastAsia"/>
        </w:rPr>
        <w:t>如果本报告用户希望就本报告向云南滇金投资有限公司进行任何反馈，则可以通过122743026@qq.com联系企业相关部门，联系人：姜黎雄，电话：13888598737。</w:t>
      </w:r>
    </w:p>
    <w:p w14:paraId="14F6C0FB">
      <w:pPr>
        <w:spacing w:line="520" w:lineRule="exact"/>
      </w:pPr>
      <w:r>
        <w:rPr>
          <w:rFonts w:hint="eastAsia"/>
        </w:rPr>
        <w:t>If users of this report wish to provide any feedback to Yunnan Dianjin Investment Co., Ltd. with respect to this report, feel free to contact our relevant departments by E-mail 122743026@qq.com, contact person: Jiang lixiong, Tel: 13888598737。</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B0604020202020204"/>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6"/>
      </w:rPr>
      <w:id w:val="-1066566948"/>
      <w:docPartObj>
        <w:docPartGallery w:val="autotext"/>
      </w:docPartObj>
    </w:sdtPr>
    <w:sdtEndPr>
      <w:rPr>
        <w:rStyle w:val="16"/>
      </w:rPr>
    </w:sdtEndPr>
    <w:sdtContent>
      <w:p w14:paraId="78220551">
        <w:pPr>
          <w:pStyle w:val="7"/>
          <w:framePr w:wrap="auto" w:vAnchor="text" w:hAnchor="margin" w:xAlign="right" w:y="1"/>
          <w:ind w:firstLine="360"/>
          <w:rPr>
            <w:rStyle w:val="16"/>
          </w:rPr>
        </w:pPr>
        <w:r>
          <w:rPr>
            <w:rStyle w:val="16"/>
          </w:rPr>
          <w:fldChar w:fldCharType="begin"/>
        </w:r>
        <w:r>
          <w:rPr>
            <w:rStyle w:val="16"/>
          </w:rPr>
          <w:instrText xml:space="preserve"> PAGE </w:instrText>
        </w:r>
        <w:r>
          <w:rPr>
            <w:rStyle w:val="16"/>
          </w:rPr>
          <w:fldChar w:fldCharType="separate"/>
        </w:r>
        <w:r>
          <w:rPr>
            <w:rStyle w:val="16"/>
          </w:rPr>
          <w:t>2</w:t>
        </w:r>
        <w:r>
          <w:rPr>
            <w:rStyle w:val="16"/>
          </w:rPr>
          <w:fldChar w:fldCharType="end"/>
        </w:r>
      </w:p>
    </w:sdtContent>
  </w:sdt>
  <w:p w14:paraId="1D0A1327">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6"/>
      </w:rPr>
      <w:id w:val="-2011132429"/>
      <w:docPartObj>
        <w:docPartGallery w:val="autotext"/>
      </w:docPartObj>
    </w:sdtPr>
    <w:sdtEndPr>
      <w:rPr>
        <w:rStyle w:val="16"/>
      </w:rPr>
    </w:sdtEndPr>
    <w:sdtContent>
      <w:p w14:paraId="7377D704">
        <w:pPr>
          <w:pStyle w:val="7"/>
          <w:framePr w:wrap="auto" w:vAnchor="text" w:hAnchor="margin" w:xAlign="right" w:y="1"/>
          <w:ind w:firstLine="360"/>
          <w:rPr>
            <w:rStyle w:val="16"/>
          </w:rPr>
        </w:pPr>
        <w:r>
          <w:rPr>
            <w:rStyle w:val="16"/>
          </w:rPr>
          <w:fldChar w:fldCharType="begin"/>
        </w:r>
        <w:r>
          <w:rPr>
            <w:rStyle w:val="16"/>
          </w:rPr>
          <w:instrText xml:space="preserve"> PAGE </w:instrText>
        </w:r>
        <w:r>
          <w:rPr>
            <w:rStyle w:val="16"/>
          </w:rPr>
          <w:fldChar w:fldCharType="separate"/>
        </w:r>
        <w:r>
          <w:rPr>
            <w:rStyle w:val="16"/>
          </w:rPr>
          <w:fldChar w:fldCharType="end"/>
        </w:r>
      </w:p>
    </w:sdtContent>
  </w:sdt>
  <w:p w14:paraId="205B555B">
    <w:pPr>
      <w:pStyle w:val="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297E7">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8F9F4">
    <w:pPr>
      <w:spacing w:line="320" w:lineRule="exact"/>
      <w:ind w:firstLine="400"/>
      <w:jc w:val="center"/>
      <w:rPr>
        <w:sz w:val="20"/>
        <w:szCs w:val="22"/>
      </w:rPr>
    </w:pPr>
    <w:r>
      <w:rPr>
        <w:rFonts w:hint="eastAsia"/>
        <w:sz w:val="22"/>
        <w:szCs w:val="22"/>
      </w:rPr>
      <w:t>云南滇金投资有限公司</w:t>
    </w:r>
    <w:r>
      <w:rPr>
        <w:sz w:val="22"/>
        <w:szCs w:val="22"/>
      </w:rPr>
      <w:t>Yunnan Dianjin Investment Co., Ltd.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366DE">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57B4E">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342898"/>
    <w:multiLevelType w:val="multilevel"/>
    <w:tmpl w:val="02342898"/>
    <w:lvl w:ilvl="0" w:tentative="0">
      <w:start w:val="1"/>
      <w:numFmt w:val="decimal"/>
      <w:lvlText w:val="%1."/>
      <w:lvlJc w:val="left"/>
      <w:pPr>
        <w:ind w:left="920" w:hanging="36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1">
    <w:nsid w:val="0F3F2163"/>
    <w:multiLevelType w:val="multilevel"/>
    <w:tmpl w:val="0F3F2163"/>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2">
    <w:nsid w:val="24FA416B"/>
    <w:multiLevelType w:val="multilevel"/>
    <w:tmpl w:val="24FA416B"/>
    <w:lvl w:ilvl="0" w:tentative="0">
      <w:start w:val="1"/>
      <w:numFmt w:val="decimal"/>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3">
    <w:nsid w:val="2AA924BC"/>
    <w:multiLevelType w:val="singleLevel"/>
    <w:tmpl w:val="2AA924BC"/>
    <w:lvl w:ilvl="0" w:tentative="0">
      <w:start w:val="1"/>
      <w:numFmt w:val="decimal"/>
      <w:suff w:val="nothing"/>
      <w:lvlText w:val="（%1）"/>
      <w:lvlJc w:val="left"/>
    </w:lvl>
  </w:abstractNum>
  <w:abstractNum w:abstractNumId="4">
    <w:nsid w:val="46710FBA"/>
    <w:multiLevelType w:val="multilevel"/>
    <w:tmpl w:val="46710FBA"/>
    <w:lvl w:ilvl="0" w:tentative="0">
      <w:start w:val="1"/>
      <w:numFmt w:val="decimal"/>
      <w:lvlText w:val="%1."/>
      <w:lvlJc w:val="left"/>
      <w:pPr>
        <w:ind w:left="920" w:hanging="36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5">
    <w:nsid w:val="4A8D3FB0"/>
    <w:multiLevelType w:val="multilevel"/>
    <w:tmpl w:val="4A8D3FB0"/>
    <w:lvl w:ilvl="0" w:tentative="0">
      <w:start w:val="1"/>
      <w:numFmt w:val="decimal"/>
      <w:lvlText w:val="%1."/>
      <w:lvlJc w:val="left"/>
      <w:pPr>
        <w:ind w:left="980" w:hanging="42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6">
    <w:nsid w:val="523042E9"/>
    <w:multiLevelType w:val="multilevel"/>
    <w:tmpl w:val="523042E9"/>
    <w:lvl w:ilvl="0" w:tentative="0">
      <w:start w:val="1"/>
      <w:numFmt w:val="decimal"/>
      <w:lvlText w:val="%1."/>
      <w:lvlJc w:val="left"/>
      <w:pPr>
        <w:ind w:left="920" w:hanging="36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7">
    <w:nsid w:val="5503183F"/>
    <w:multiLevelType w:val="multilevel"/>
    <w:tmpl w:val="5503183F"/>
    <w:lvl w:ilvl="0" w:tentative="0">
      <w:start w:val="1"/>
      <w:numFmt w:val="decimal"/>
      <w:lvlText w:val="%1."/>
      <w:lvlJc w:val="left"/>
      <w:pPr>
        <w:ind w:left="920" w:hanging="36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8">
    <w:nsid w:val="65856AFC"/>
    <w:multiLevelType w:val="multilevel"/>
    <w:tmpl w:val="65856AFC"/>
    <w:lvl w:ilvl="0" w:tentative="0">
      <w:start w:val="1"/>
      <w:numFmt w:val="decimal"/>
      <w:lvlText w:val="%1."/>
      <w:lvlJc w:val="left"/>
      <w:pPr>
        <w:ind w:left="920" w:hanging="36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9">
    <w:nsid w:val="695077B1"/>
    <w:multiLevelType w:val="multilevel"/>
    <w:tmpl w:val="695077B1"/>
    <w:lvl w:ilvl="0" w:tentative="0">
      <w:start w:val="1"/>
      <w:numFmt w:val="decimal"/>
      <w:lvlText w:val="%1."/>
      <w:lvlJc w:val="left"/>
      <w:pPr>
        <w:ind w:left="920" w:hanging="36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1"/>
  </w:num>
  <w:num w:numId="2">
    <w:abstractNumId w:val="3"/>
  </w:num>
  <w:num w:numId="3">
    <w:abstractNumId w:val="2"/>
  </w:num>
  <w:num w:numId="4">
    <w:abstractNumId w:val="5"/>
  </w:num>
  <w:num w:numId="5">
    <w:abstractNumId w:val="0"/>
  </w:num>
  <w:num w:numId="6">
    <w:abstractNumId w:val="8"/>
  </w:num>
  <w:num w:numId="7">
    <w:abstractNumId w:val="6"/>
  </w:num>
  <w:num w:numId="8">
    <w:abstractNumId w:val="9"/>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trackRevisions w:val="1"/>
  <w:documentProtection w:enforcement="0"/>
  <w:defaultTabStop w:val="420"/>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zM0YjdmMmJjMWU1M2U0YTRmNDgwZDRkY2VjMmQifQ=="/>
  </w:docVars>
  <w:rsids>
    <w:rsidRoot w:val="005A6281"/>
    <w:rsid w:val="00003BEA"/>
    <w:rsid w:val="00006227"/>
    <w:rsid w:val="00031361"/>
    <w:rsid w:val="000534BE"/>
    <w:rsid w:val="00062A49"/>
    <w:rsid w:val="00063EA7"/>
    <w:rsid w:val="00066D6A"/>
    <w:rsid w:val="00072036"/>
    <w:rsid w:val="0007460B"/>
    <w:rsid w:val="00075667"/>
    <w:rsid w:val="0007786C"/>
    <w:rsid w:val="000828E6"/>
    <w:rsid w:val="000876DB"/>
    <w:rsid w:val="00090A1B"/>
    <w:rsid w:val="000A7CCA"/>
    <w:rsid w:val="000C0509"/>
    <w:rsid w:val="000C066B"/>
    <w:rsid w:val="000C2EA1"/>
    <w:rsid w:val="000C3F39"/>
    <w:rsid w:val="000D1496"/>
    <w:rsid w:val="000E3198"/>
    <w:rsid w:val="000E6D02"/>
    <w:rsid w:val="000F424A"/>
    <w:rsid w:val="00101508"/>
    <w:rsid w:val="0010272B"/>
    <w:rsid w:val="00114D62"/>
    <w:rsid w:val="00117ED1"/>
    <w:rsid w:val="001235FA"/>
    <w:rsid w:val="00124E54"/>
    <w:rsid w:val="0012530D"/>
    <w:rsid w:val="00127E95"/>
    <w:rsid w:val="001343AA"/>
    <w:rsid w:val="00141909"/>
    <w:rsid w:val="001429EE"/>
    <w:rsid w:val="00147473"/>
    <w:rsid w:val="00152578"/>
    <w:rsid w:val="00162B9E"/>
    <w:rsid w:val="00171396"/>
    <w:rsid w:val="00174FDE"/>
    <w:rsid w:val="001838B7"/>
    <w:rsid w:val="001838F9"/>
    <w:rsid w:val="0019195E"/>
    <w:rsid w:val="001B296C"/>
    <w:rsid w:val="001B6626"/>
    <w:rsid w:val="001B7D5D"/>
    <w:rsid w:val="001C4CBB"/>
    <w:rsid w:val="001C67F2"/>
    <w:rsid w:val="001D1090"/>
    <w:rsid w:val="001D3973"/>
    <w:rsid w:val="001E4DAF"/>
    <w:rsid w:val="001F05AB"/>
    <w:rsid w:val="001F60C2"/>
    <w:rsid w:val="00210FD8"/>
    <w:rsid w:val="002226D2"/>
    <w:rsid w:val="00224E24"/>
    <w:rsid w:val="00231295"/>
    <w:rsid w:val="00235878"/>
    <w:rsid w:val="0024002E"/>
    <w:rsid w:val="0024233C"/>
    <w:rsid w:val="002423B3"/>
    <w:rsid w:val="00262080"/>
    <w:rsid w:val="00262A4C"/>
    <w:rsid w:val="002657E2"/>
    <w:rsid w:val="00266641"/>
    <w:rsid w:val="0026715E"/>
    <w:rsid w:val="00276436"/>
    <w:rsid w:val="00290199"/>
    <w:rsid w:val="0029578C"/>
    <w:rsid w:val="002A5A24"/>
    <w:rsid w:val="002B313E"/>
    <w:rsid w:val="002B616C"/>
    <w:rsid w:val="002C0EF4"/>
    <w:rsid w:val="002C4D71"/>
    <w:rsid w:val="002D2E62"/>
    <w:rsid w:val="002D63A8"/>
    <w:rsid w:val="002D6AA7"/>
    <w:rsid w:val="002E6C00"/>
    <w:rsid w:val="002F0003"/>
    <w:rsid w:val="002F0987"/>
    <w:rsid w:val="00321531"/>
    <w:rsid w:val="0032352A"/>
    <w:rsid w:val="00333253"/>
    <w:rsid w:val="0035319E"/>
    <w:rsid w:val="00360069"/>
    <w:rsid w:val="00360390"/>
    <w:rsid w:val="003625EC"/>
    <w:rsid w:val="00362871"/>
    <w:rsid w:val="00365FAA"/>
    <w:rsid w:val="00374F31"/>
    <w:rsid w:val="003829F8"/>
    <w:rsid w:val="00382DEE"/>
    <w:rsid w:val="00392F2D"/>
    <w:rsid w:val="0039631A"/>
    <w:rsid w:val="003B6E4E"/>
    <w:rsid w:val="003C0583"/>
    <w:rsid w:val="003C7390"/>
    <w:rsid w:val="003C783F"/>
    <w:rsid w:val="003D65FB"/>
    <w:rsid w:val="003E21E0"/>
    <w:rsid w:val="003E3090"/>
    <w:rsid w:val="003E38F7"/>
    <w:rsid w:val="003F5657"/>
    <w:rsid w:val="003F5F2A"/>
    <w:rsid w:val="004009F5"/>
    <w:rsid w:val="00405E91"/>
    <w:rsid w:val="00415866"/>
    <w:rsid w:val="00420DB5"/>
    <w:rsid w:val="004271A7"/>
    <w:rsid w:val="00433229"/>
    <w:rsid w:val="004338DC"/>
    <w:rsid w:val="00443E37"/>
    <w:rsid w:val="00446A4A"/>
    <w:rsid w:val="00452019"/>
    <w:rsid w:val="00454BFF"/>
    <w:rsid w:val="0046476F"/>
    <w:rsid w:val="0046686D"/>
    <w:rsid w:val="00496CCF"/>
    <w:rsid w:val="00496EB3"/>
    <w:rsid w:val="00496F9B"/>
    <w:rsid w:val="004B0A17"/>
    <w:rsid w:val="004B0D73"/>
    <w:rsid w:val="004B4B7B"/>
    <w:rsid w:val="004B7C82"/>
    <w:rsid w:val="004D0D90"/>
    <w:rsid w:val="004D3596"/>
    <w:rsid w:val="004D4FE9"/>
    <w:rsid w:val="004E3BE0"/>
    <w:rsid w:val="004E5022"/>
    <w:rsid w:val="004E532C"/>
    <w:rsid w:val="004F1125"/>
    <w:rsid w:val="00500243"/>
    <w:rsid w:val="0051673C"/>
    <w:rsid w:val="00520D67"/>
    <w:rsid w:val="00523E04"/>
    <w:rsid w:val="00532D63"/>
    <w:rsid w:val="00534A13"/>
    <w:rsid w:val="00535D79"/>
    <w:rsid w:val="00546A53"/>
    <w:rsid w:val="00553424"/>
    <w:rsid w:val="00573467"/>
    <w:rsid w:val="00584FDC"/>
    <w:rsid w:val="0058506A"/>
    <w:rsid w:val="005A24A3"/>
    <w:rsid w:val="005A268A"/>
    <w:rsid w:val="005A3A3D"/>
    <w:rsid w:val="005A6281"/>
    <w:rsid w:val="005B0463"/>
    <w:rsid w:val="005B285A"/>
    <w:rsid w:val="005B7C93"/>
    <w:rsid w:val="005C4AC9"/>
    <w:rsid w:val="005D4603"/>
    <w:rsid w:val="005E2370"/>
    <w:rsid w:val="005F481F"/>
    <w:rsid w:val="005F50EE"/>
    <w:rsid w:val="005F6879"/>
    <w:rsid w:val="006030EF"/>
    <w:rsid w:val="006216FB"/>
    <w:rsid w:val="006238A6"/>
    <w:rsid w:val="0062399B"/>
    <w:rsid w:val="006319BE"/>
    <w:rsid w:val="00651107"/>
    <w:rsid w:val="006555D5"/>
    <w:rsid w:val="00656029"/>
    <w:rsid w:val="00661570"/>
    <w:rsid w:val="006629F5"/>
    <w:rsid w:val="006901FB"/>
    <w:rsid w:val="006916F0"/>
    <w:rsid w:val="00693C8F"/>
    <w:rsid w:val="0069713C"/>
    <w:rsid w:val="006B344D"/>
    <w:rsid w:val="006C0F6E"/>
    <w:rsid w:val="006C20BE"/>
    <w:rsid w:val="006D4155"/>
    <w:rsid w:val="006D5ED5"/>
    <w:rsid w:val="006E3681"/>
    <w:rsid w:val="006E3EAD"/>
    <w:rsid w:val="00704A97"/>
    <w:rsid w:val="00706874"/>
    <w:rsid w:val="00707DB9"/>
    <w:rsid w:val="007153B6"/>
    <w:rsid w:val="00715617"/>
    <w:rsid w:val="0071756D"/>
    <w:rsid w:val="007205F4"/>
    <w:rsid w:val="00726300"/>
    <w:rsid w:val="00730379"/>
    <w:rsid w:val="00736396"/>
    <w:rsid w:val="00736D1D"/>
    <w:rsid w:val="007479D3"/>
    <w:rsid w:val="0075084A"/>
    <w:rsid w:val="0075100D"/>
    <w:rsid w:val="00751936"/>
    <w:rsid w:val="007532C8"/>
    <w:rsid w:val="007533C1"/>
    <w:rsid w:val="007629D8"/>
    <w:rsid w:val="00773C53"/>
    <w:rsid w:val="0077442F"/>
    <w:rsid w:val="00784127"/>
    <w:rsid w:val="00792D12"/>
    <w:rsid w:val="007B1FCD"/>
    <w:rsid w:val="007B210A"/>
    <w:rsid w:val="007B2B46"/>
    <w:rsid w:val="007B4D8A"/>
    <w:rsid w:val="007B6100"/>
    <w:rsid w:val="007C0F9A"/>
    <w:rsid w:val="007C44A3"/>
    <w:rsid w:val="007C5C74"/>
    <w:rsid w:val="007D19A2"/>
    <w:rsid w:val="007D2EC6"/>
    <w:rsid w:val="007E4410"/>
    <w:rsid w:val="007F2E65"/>
    <w:rsid w:val="007F593A"/>
    <w:rsid w:val="007F6F7C"/>
    <w:rsid w:val="00814CBA"/>
    <w:rsid w:val="00832291"/>
    <w:rsid w:val="00835361"/>
    <w:rsid w:val="00846AFC"/>
    <w:rsid w:val="008504E7"/>
    <w:rsid w:val="0085218C"/>
    <w:rsid w:val="00870C93"/>
    <w:rsid w:val="0087108A"/>
    <w:rsid w:val="0088229A"/>
    <w:rsid w:val="00897DE6"/>
    <w:rsid w:val="008A0486"/>
    <w:rsid w:val="008A0741"/>
    <w:rsid w:val="008A1BDD"/>
    <w:rsid w:val="008A2146"/>
    <w:rsid w:val="008A52E2"/>
    <w:rsid w:val="008A7D21"/>
    <w:rsid w:val="008C0688"/>
    <w:rsid w:val="008D1396"/>
    <w:rsid w:val="008D3CF8"/>
    <w:rsid w:val="008E3CFB"/>
    <w:rsid w:val="008F13EC"/>
    <w:rsid w:val="009064E0"/>
    <w:rsid w:val="009065FD"/>
    <w:rsid w:val="00912E2C"/>
    <w:rsid w:val="00913F63"/>
    <w:rsid w:val="00920750"/>
    <w:rsid w:val="00924BC8"/>
    <w:rsid w:val="00932B23"/>
    <w:rsid w:val="009358D0"/>
    <w:rsid w:val="009433BF"/>
    <w:rsid w:val="00955B65"/>
    <w:rsid w:val="00956D9D"/>
    <w:rsid w:val="009633D4"/>
    <w:rsid w:val="009676BC"/>
    <w:rsid w:val="009944C9"/>
    <w:rsid w:val="00995C70"/>
    <w:rsid w:val="0099788F"/>
    <w:rsid w:val="009A18DD"/>
    <w:rsid w:val="009A1F6C"/>
    <w:rsid w:val="009A2054"/>
    <w:rsid w:val="009B3A27"/>
    <w:rsid w:val="009C3B44"/>
    <w:rsid w:val="009C46C8"/>
    <w:rsid w:val="009D2C01"/>
    <w:rsid w:val="009D7D61"/>
    <w:rsid w:val="009E4D55"/>
    <w:rsid w:val="009F2B17"/>
    <w:rsid w:val="00A05947"/>
    <w:rsid w:val="00A1193E"/>
    <w:rsid w:val="00A14A87"/>
    <w:rsid w:val="00A157DF"/>
    <w:rsid w:val="00A21415"/>
    <w:rsid w:val="00A260BB"/>
    <w:rsid w:val="00A31C2D"/>
    <w:rsid w:val="00A43B5F"/>
    <w:rsid w:val="00A442F9"/>
    <w:rsid w:val="00A513EF"/>
    <w:rsid w:val="00A522C7"/>
    <w:rsid w:val="00A62591"/>
    <w:rsid w:val="00A7237B"/>
    <w:rsid w:val="00A77EAF"/>
    <w:rsid w:val="00A80C5F"/>
    <w:rsid w:val="00A901F9"/>
    <w:rsid w:val="00AB33DE"/>
    <w:rsid w:val="00AB35C0"/>
    <w:rsid w:val="00AB786F"/>
    <w:rsid w:val="00AC52E7"/>
    <w:rsid w:val="00AC57A7"/>
    <w:rsid w:val="00AC5ED9"/>
    <w:rsid w:val="00AC5FE7"/>
    <w:rsid w:val="00AD2BA1"/>
    <w:rsid w:val="00AD6058"/>
    <w:rsid w:val="00AE3402"/>
    <w:rsid w:val="00B00684"/>
    <w:rsid w:val="00B16F20"/>
    <w:rsid w:val="00B3085C"/>
    <w:rsid w:val="00B36F4A"/>
    <w:rsid w:val="00B401EB"/>
    <w:rsid w:val="00B44B4C"/>
    <w:rsid w:val="00B45994"/>
    <w:rsid w:val="00B52690"/>
    <w:rsid w:val="00B56157"/>
    <w:rsid w:val="00B6197F"/>
    <w:rsid w:val="00B66A50"/>
    <w:rsid w:val="00B71C1D"/>
    <w:rsid w:val="00B77117"/>
    <w:rsid w:val="00B816CE"/>
    <w:rsid w:val="00B95DEC"/>
    <w:rsid w:val="00BA1E6D"/>
    <w:rsid w:val="00BA2766"/>
    <w:rsid w:val="00BA39E7"/>
    <w:rsid w:val="00BA47F6"/>
    <w:rsid w:val="00BA76C7"/>
    <w:rsid w:val="00BA7732"/>
    <w:rsid w:val="00BC0481"/>
    <w:rsid w:val="00BC2075"/>
    <w:rsid w:val="00BC6EC5"/>
    <w:rsid w:val="00BC7603"/>
    <w:rsid w:val="00BD47E5"/>
    <w:rsid w:val="00BD631B"/>
    <w:rsid w:val="00BE5189"/>
    <w:rsid w:val="00BF341F"/>
    <w:rsid w:val="00BF5D65"/>
    <w:rsid w:val="00BF6BBE"/>
    <w:rsid w:val="00BF789C"/>
    <w:rsid w:val="00C10B62"/>
    <w:rsid w:val="00C15B7A"/>
    <w:rsid w:val="00C22545"/>
    <w:rsid w:val="00C30349"/>
    <w:rsid w:val="00C377FD"/>
    <w:rsid w:val="00C37AEB"/>
    <w:rsid w:val="00C40460"/>
    <w:rsid w:val="00C43545"/>
    <w:rsid w:val="00C47F2C"/>
    <w:rsid w:val="00C57D6C"/>
    <w:rsid w:val="00C615A9"/>
    <w:rsid w:val="00C63CE0"/>
    <w:rsid w:val="00C833A8"/>
    <w:rsid w:val="00C83D3A"/>
    <w:rsid w:val="00C86E49"/>
    <w:rsid w:val="00C86F26"/>
    <w:rsid w:val="00C9544C"/>
    <w:rsid w:val="00CA3FB8"/>
    <w:rsid w:val="00CA6B30"/>
    <w:rsid w:val="00CB463A"/>
    <w:rsid w:val="00CC6AA7"/>
    <w:rsid w:val="00CD2324"/>
    <w:rsid w:val="00CD3586"/>
    <w:rsid w:val="00CD4F8C"/>
    <w:rsid w:val="00CD6E1C"/>
    <w:rsid w:val="00CE5C1D"/>
    <w:rsid w:val="00CE68F0"/>
    <w:rsid w:val="00CE79C3"/>
    <w:rsid w:val="00CF10D5"/>
    <w:rsid w:val="00D0314F"/>
    <w:rsid w:val="00D05440"/>
    <w:rsid w:val="00D10457"/>
    <w:rsid w:val="00D10F2F"/>
    <w:rsid w:val="00D13807"/>
    <w:rsid w:val="00D1624E"/>
    <w:rsid w:val="00D250CC"/>
    <w:rsid w:val="00D26F15"/>
    <w:rsid w:val="00D3103B"/>
    <w:rsid w:val="00D3107F"/>
    <w:rsid w:val="00D40A1C"/>
    <w:rsid w:val="00D40FA4"/>
    <w:rsid w:val="00D440A5"/>
    <w:rsid w:val="00D51BD7"/>
    <w:rsid w:val="00D540AB"/>
    <w:rsid w:val="00D600D4"/>
    <w:rsid w:val="00D77C85"/>
    <w:rsid w:val="00D83335"/>
    <w:rsid w:val="00D857C2"/>
    <w:rsid w:val="00D865E0"/>
    <w:rsid w:val="00D92EDB"/>
    <w:rsid w:val="00D96F60"/>
    <w:rsid w:val="00DA2A09"/>
    <w:rsid w:val="00DA4BF4"/>
    <w:rsid w:val="00DB28DC"/>
    <w:rsid w:val="00DB4F8F"/>
    <w:rsid w:val="00DC62E6"/>
    <w:rsid w:val="00DD01E1"/>
    <w:rsid w:val="00DD07D0"/>
    <w:rsid w:val="00DD2555"/>
    <w:rsid w:val="00DE2FB7"/>
    <w:rsid w:val="00DE4F19"/>
    <w:rsid w:val="00E10B7C"/>
    <w:rsid w:val="00E11497"/>
    <w:rsid w:val="00E25EC2"/>
    <w:rsid w:val="00E32D14"/>
    <w:rsid w:val="00E34A67"/>
    <w:rsid w:val="00E44CD4"/>
    <w:rsid w:val="00E55229"/>
    <w:rsid w:val="00E574AE"/>
    <w:rsid w:val="00E67A55"/>
    <w:rsid w:val="00E71F32"/>
    <w:rsid w:val="00E907B9"/>
    <w:rsid w:val="00E94228"/>
    <w:rsid w:val="00EA6D51"/>
    <w:rsid w:val="00EB0012"/>
    <w:rsid w:val="00EB02B4"/>
    <w:rsid w:val="00EB36D8"/>
    <w:rsid w:val="00EB5095"/>
    <w:rsid w:val="00EC63C4"/>
    <w:rsid w:val="00EE5EBF"/>
    <w:rsid w:val="00EF00FA"/>
    <w:rsid w:val="00F00829"/>
    <w:rsid w:val="00F219DD"/>
    <w:rsid w:val="00F32F1D"/>
    <w:rsid w:val="00F33676"/>
    <w:rsid w:val="00F425CC"/>
    <w:rsid w:val="00F63B7C"/>
    <w:rsid w:val="00F64492"/>
    <w:rsid w:val="00F65170"/>
    <w:rsid w:val="00F73AF0"/>
    <w:rsid w:val="00F833BF"/>
    <w:rsid w:val="00F97A91"/>
    <w:rsid w:val="00FA237F"/>
    <w:rsid w:val="00FB3D1D"/>
    <w:rsid w:val="00FB5945"/>
    <w:rsid w:val="00FB7013"/>
    <w:rsid w:val="00FC05A6"/>
    <w:rsid w:val="00FC36E7"/>
    <w:rsid w:val="00FE70C9"/>
    <w:rsid w:val="00FF2BDF"/>
    <w:rsid w:val="00FF402C"/>
    <w:rsid w:val="00FF4593"/>
    <w:rsid w:val="00FF7555"/>
    <w:rsid w:val="012570FC"/>
    <w:rsid w:val="0176597C"/>
    <w:rsid w:val="017E2A82"/>
    <w:rsid w:val="01973B44"/>
    <w:rsid w:val="01993D60"/>
    <w:rsid w:val="01AF70E0"/>
    <w:rsid w:val="01B42948"/>
    <w:rsid w:val="02160F0D"/>
    <w:rsid w:val="023B6BC5"/>
    <w:rsid w:val="024A0BB7"/>
    <w:rsid w:val="025D7BE0"/>
    <w:rsid w:val="027D2D3A"/>
    <w:rsid w:val="02B40E52"/>
    <w:rsid w:val="02E64D83"/>
    <w:rsid w:val="037D56E7"/>
    <w:rsid w:val="03A10CAA"/>
    <w:rsid w:val="04610B65"/>
    <w:rsid w:val="046349A0"/>
    <w:rsid w:val="04656BB0"/>
    <w:rsid w:val="046B0BDB"/>
    <w:rsid w:val="04732647"/>
    <w:rsid w:val="0495080F"/>
    <w:rsid w:val="04983E5B"/>
    <w:rsid w:val="04BA5442"/>
    <w:rsid w:val="04BC223F"/>
    <w:rsid w:val="04C80BE4"/>
    <w:rsid w:val="04CC35A6"/>
    <w:rsid w:val="04D53301"/>
    <w:rsid w:val="04F97324"/>
    <w:rsid w:val="04FB0BE1"/>
    <w:rsid w:val="04FF212C"/>
    <w:rsid w:val="05072FFA"/>
    <w:rsid w:val="05096B07"/>
    <w:rsid w:val="056A06B9"/>
    <w:rsid w:val="05AF3B52"/>
    <w:rsid w:val="05F45A09"/>
    <w:rsid w:val="05FD2B10"/>
    <w:rsid w:val="066C1A43"/>
    <w:rsid w:val="06743778"/>
    <w:rsid w:val="068A3C77"/>
    <w:rsid w:val="06982838"/>
    <w:rsid w:val="06A710E4"/>
    <w:rsid w:val="06C177F7"/>
    <w:rsid w:val="06E536E6"/>
    <w:rsid w:val="074327A4"/>
    <w:rsid w:val="07942AB4"/>
    <w:rsid w:val="07A61A79"/>
    <w:rsid w:val="07BE62CF"/>
    <w:rsid w:val="07C5765D"/>
    <w:rsid w:val="07E03A85"/>
    <w:rsid w:val="08086A50"/>
    <w:rsid w:val="0869448C"/>
    <w:rsid w:val="088F5575"/>
    <w:rsid w:val="089F1C5C"/>
    <w:rsid w:val="08B35707"/>
    <w:rsid w:val="08CC5B94"/>
    <w:rsid w:val="08CF2B14"/>
    <w:rsid w:val="08F24482"/>
    <w:rsid w:val="091A5787"/>
    <w:rsid w:val="097A7FD3"/>
    <w:rsid w:val="09A11A04"/>
    <w:rsid w:val="0A0501E5"/>
    <w:rsid w:val="0A454A85"/>
    <w:rsid w:val="0A856C30"/>
    <w:rsid w:val="0B372620"/>
    <w:rsid w:val="0B5E5DFE"/>
    <w:rsid w:val="0B5F56D3"/>
    <w:rsid w:val="0B61144B"/>
    <w:rsid w:val="0B770D8D"/>
    <w:rsid w:val="0BB35A1E"/>
    <w:rsid w:val="0BC83278"/>
    <w:rsid w:val="0C670CE3"/>
    <w:rsid w:val="0C776A4C"/>
    <w:rsid w:val="0C8537D6"/>
    <w:rsid w:val="0CBB2DDD"/>
    <w:rsid w:val="0CD107A8"/>
    <w:rsid w:val="0CE9794A"/>
    <w:rsid w:val="0CEA5470"/>
    <w:rsid w:val="0CEC11E8"/>
    <w:rsid w:val="0D411534"/>
    <w:rsid w:val="0D442DD2"/>
    <w:rsid w:val="0D6E7E4F"/>
    <w:rsid w:val="0D837D9E"/>
    <w:rsid w:val="0DA63A8D"/>
    <w:rsid w:val="0DA87805"/>
    <w:rsid w:val="0DC81C7C"/>
    <w:rsid w:val="0DC857B1"/>
    <w:rsid w:val="0DE14AC5"/>
    <w:rsid w:val="0E012A71"/>
    <w:rsid w:val="0E5139F9"/>
    <w:rsid w:val="0E7E40C2"/>
    <w:rsid w:val="0EB43F87"/>
    <w:rsid w:val="0EDD34DE"/>
    <w:rsid w:val="0EF24C2B"/>
    <w:rsid w:val="0EF80318"/>
    <w:rsid w:val="0F1D1B2D"/>
    <w:rsid w:val="0F45250E"/>
    <w:rsid w:val="0F503CB0"/>
    <w:rsid w:val="0F7D25CB"/>
    <w:rsid w:val="0FA20284"/>
    <w:rsid w:val="0FB37A25"/>
    <w:rsid w:val="0FB657EA"/>
    <w:rsid w:val="0FE67F22"/>
    <w:rsid w:val="10233173"/>
    <w:rsid w:val="102615C1"/>
    <w:rsid w:val="10280789"/>
    <w:rsid w:val="104355C3"/>
    <w:rsid w:val="10525806"/>
    <w:rsid w:val="10AB3168"/>
    <w:rsid w:val="10C04E65"/>
    <w:rsid w:val="10C1473A"/>
    <w:rsid w:val="1109680C"/>
    <w:rsid w:val="11131439"/>
    <w:rsid w:val="111F16DD"/>
    <w:rsid w:val="112E1DCF"/>
    <w:rsid w:val="112E6273"/>
    <w:rsid w:val="114333A1"/>
    <w:rsid w:val="11586E4C"/>
    <w:rsid w:val="11733C86"/>
    <w:rsid w:val="117437CF"/>
    <w:rsid w:val="117619C8"/>
    <w:rsid w:val="117B2B3A"/>
    <w:rsid w:val="11DD1A47"/>
    <w:rsid w:val="125F452B"/>
    <w:rsid w:val="12A165D1"/>
    <w:rsid w:val="12CD5618"/>
    <w:rsid w:val="12D50720"/>
    <w:rsid w:val="12E34E3B"/>
    <w:rsid w:val="12ED1816"/>
    <w:rsid w:val="130354DD"/>
    <w:rsid w:val="13160D6D"/>
    <w:rsid w:val="13622204"/>
    <w:rsid w:val="13781A27"/>
    <w:rsid w:val="13BA3DEE"/>
    <w:rsid w:val="13EB3FA7"/>
    <w:rsid w:val="14467430"/>
    <w:rsid w:val="147541B9"/>
    <w:rsid w:val="148F527B"/>
    <w:rsid w:val="14A73DDB"/>
    <w:rsid w:val="14C477DF"/>
    <w:rsid w:val="1517558A"/>
    <w:rsid w:val="1537146E"/>
    <w:rsid w:val="15455939"/>
    <w:rsid w:val="15B94F1F"/>
    <w:rsid w:val="15C56A7A"/>
    <w:rsid w:val="15DF7B3C"/>
    <w:rsid w:val="15FB06EE"/>
    <w:rsid w:val="1629525B"/>
    <w:rsid w:val="16314110"/>
    <w:rsid w:val="167A1613"/>
    <w:rsid w:val="16846935"/>
    <w:rsid w:val="16881F81"/>
    <w:rsid w:val="16924542"/>
    <w:rsid w:val="16B80F63"/>
    <w:rsid w:val="16E15B36"/>
    <w:rsid w:val="17077B96"/>
    <w:rsid w:val="17141A67"/>
    <w:rsid w:val="177C760C"/>
    <w:rsid w:val="17822E75"/>
    <w:rsid w:val="17935ADC"/>
    <w:rsid w:val="17944956"/>
    <w:rsid w:val="17A10E21"/>
    <w:rsid w:val="17A50911"/>
    <w:rsid w:val="17FE0021"/>
    <w:rsid w:val="18253800"/>
    <w:rsid w:val="18357EE7"/>
    <w:rsid w:val="185C1918"/>
    <w:rsid w:val="186802BC"/>
    <w:rsid w:val="18891FE1"/>
    <w:rsid w:val="189E2829"/>
    <w:rsid w:val="18B54E4A"/>
    <w:rsid w:val="18BF3C55"/>
    <w:rsid w:val="18C1177B"/>
    <w:rsid w:val="18DC1ABD"/>
    <w:rsid w:val="18EE62E8"/>
    <w:rsid w:val="18FA6A3B"/>
    <w:rsid w:val="19033B41"/>
    <w:rsid w:val="19173A91"/>
    <w:rsid w:val="19183353"/>
    <w:rsid w:val="19197809"/>
    <w:rsid w:val="19442F8D"/>
    <w:rsid w:val="19445F08"/>
    <w:rsid w:val="19467ED2"/>
    <w:rsid w:val="198D57BC"/>
    <w:rsid w:val="19C86B39"/>
    <w:rsid w:val="19D21766"/>
    <w:rsid w:val="19D674A8"/>
    <w:rsid w:val="19DB2D10"/>
    <w:rsid w:val="19EF2318"/>
    <w:rsid w:val="19FA51C2"/>
    <w:rsid w:val="1A4268EB"/>
    <w:rsid w:val="1A562397"/>
    <w:rsid w:val="1A613215"/>
    <w:rsid w:val="1A622AE9"/>
    <w:rsid w:val="1A78055F"/>
    <w:rsid w:val="1A7B1DFD"/>
    <w:rsid w:val="1ABA46D4"/>
    <w:rsid w:val="1AD5775F"/>
    <w:rsid w:val="1ADE4866"/>
    <w:rsid w:val="1B100797"/>
    <w:rsid w:val="1B351FAC"/>
    <w:rsid w:val="1B59213E"/>
    <w:rsid w:val="1B852F33"/>
    <w:rsid w:val="1BEF4851"/>
    <w:rsid w:val="1C166281"/>
    <w:rsid w:val="1C3F0C7D"/>
    <w:rsid w:val="1C640D9B"/>
    <w:rsid w:val="1C71170A"/>
    <w:rsid w:val="1CBB4733"/>
    <w:rsid w:val="1CDF0DF5"/>
    <w:rsid w:val="1CF36F9B"/>
    <w:rsid w:val="1CFF7059"/>
    <w:rsid w:val="1D13631D"/>
    <w:rsid w:val="1D192B8A"/>
    <w:rsid w:val="1D306ECF"/>
    <w:rsid w:val="1D4110DC"/>
    <w:rsid w:val="1D750D86"/>
    <w:rsid w:val="1D7A45EE"/>
    <w:rsid w:val="1DAC4CAF"/>
    <w:rsid w:val="1DAF6046"/>
    <w:rsid w:val="1DB67161"/>
    <w:rsid w:val="1DC15D79"/>
    <w:rsid w:val="1DC826E8"/>
    <w:rsid w:val="1DDA2190"/>
    <w:rsid w:val="1DF779ED"/>
    <w:rsid w:val="1E0E68C8"/>
    <w:rsid w:val="1E4A0464"/>
    <w:rsid w:val="1E6257AE"/>
    <w:rsid w:val="1EAC07D7"/>
    <w:rsid w:val="1EBD29E4"/>
    <w:rsid w:val="1F550E6F"/>
    <w:rsid w:val="1F5A6485"/>
    <w:rsid w:val="1FCD4EA9"/>
    <w:rsid w:val="1FCF431A"/>
    <w:rsid w:val="1FDA1374"/>
    <w:rsid w:val="1FED554B"/>
    <w:rsid w:val="1FFA54F8"/>
    <w:rsid w:val="20254CE5"/>
    <w:rsid w:val="203B62B7"/>
    <w:rsid w:val="20436F19"/>
    <w:rsid w:val="207B66B3"/>
    <w:rsid w:val="207D067D"/>
    <w:rsid w:val="20831A0C"/>
    <w:rsid w:val="208F03B0"/>
    <w:rsid w:val="210F707A"/>
    <w:rsid w:val="21466CC1"/>
    <w:rsid w:val="21837BDF"/>
    <w:rsid w:val="21845A3B"/>
    <w:rsid w:val="21BA76AF"/>
    <w:rsid w:val="21C30312"/>
    <w:rsid w:val="21F02494"/>
    <w:rsid w:val="21F41A6F"/>
    <w:rsid w:val="2217240B"/>
    <w:rsid w:val="224F429B"/>
    <w:rsid w:val="226A5FBA"/>
    <w:rsid w:val="226D4721"/>
    <w:rsid w:val="22950D0E"/>
    <w:rsid w:val="22C2681B"/>
    <w:rsid w:val="22D36C7A"/>
    <w:rsid w:val="22E04EF3"/>
    <w:rsid w:val="237F470C"/>
    <w:rsid w:val="2387565E"/>
    <w:rsid w:val="238C6E29"/>
    <w:rsid w:val="23CE2F9E"/>
    <w:rsid w:val="24282F85"/>
    <w:rsid w:val="2446522A"/>
    <w:rsid w:val="24F46A34"/>
    <w:rsid w:val="24F609FE"/>
    <w:rsid w:val="24FD3B3B"/>
    <w:rsid w:val="25076767"/>
    <w:rsid w:val="25311A36"/>
    <w:rsid w:val="25423C43"/>
    <w:rsid w:val="25754019"/>
    <w:rsid w:val="259C15A5"/>
    <w:rsid w:val="259C77F7"/>
    <w:rsid w:val="25E03B12"/>
    <w:rsid w:val="261807CA"/>
    <w:rsid w:val="262B0B7B"/>
    <w:rsid w:val="26492DAF"/>
    <w:rsid w:val="26AA5F44"/>
    <w:rsid w:val="26BE379D"/>
    <w:rsid w:val="26CF5B48"/>
    <w:rsid w:val="27455C6D"/>
    <w:rsid w:val="2786250D"/>
    <w:rsid w:val="27FD396B"/>
    <w:rsid w:val="28037AA6"/>
    <w:rsid w:val="28081174"/>
    <w:rsid w:val="280A53C7"/>
    <w:rsid w:val="284712D6"/>
    <w:rsid w:val="286C4193"/>
    <w:rsid w:val="28CB0A24"/>
    <w:rsid w:val="28E53263"/>
    <w:rsid w:val="2916166F"/>
    <w:rsid w:val="2939535D"/>
    <w:rsid w:val="293E3C12"/>
    <w:rsid w:val="295757E3"/>
    <w:rsid w:val="2959155B"/>
    <w:rsid w:val="295E4DC4"/>
    <w:rsid w:val="297B1D79"/>
    <w:rsid w:val="29A44ECD"/>
    <w:rsid w:val="29D137E8"/>
    <w:rsid w:val="2A057D3B"/>
    <w:rsid w:val="2A17569E"/>
    <w:rsid w:val="2A2658E2"/>
    <w:rsid w:val="2A530606"/>
    <w:rsid w:val="2A5E32CD"/>
    <w:rsid w:val="2A81612B"/>
    <w:rsid w:val="2A946CEF"/>
    <w:rsid w:val="2AD03A9F"/>
    <w:rsid w:val="2AFE060C"/>
    <w:rsid w:val="2B013C59"/>
    <w:rsid w:val="2B2D2CA0"/>
    <w:rsid w:val="2B5446D0"/>
    <w:rsid w:val="2B762899"/>
    <w:rsid w:val="2B966A97"/>
    <w:rsid w:val="2BD61589"/>
    <w:rsid w:val="2BD63337"/>
    <w:rsid w:val="2BDA4BD6"/>
    <w:rsid w:val="2BF612E4"/>
    <w:rsid w:val="2C9A4365"/>
    <w:rsid w:val="2CDD1BFD"/>
    <w:rsid w:val="2D1265F1"/>
    <w:rsid w:val="2D485B6F"/>
    <w:rsid w:val="2D8D7A26"/>
    <w:rsid w:val="2DA57465"/>
    <w:rsid w:val="2DD13DB6"/>
    <w:rsid w:val="2DD6618F"/>
    <w:rsid w:val="2DFF3131"/>
    <w:rsid w:val="2E110657"/>
    <w:rsid w:val="2E240862"/>
    <w:rsid w:val="2E6764C9"/>
    <w:rsid w:val="2EAC037F"/>
    <w:rsid w:val="2EAF6BF3"/>
    <w:rsid w:val="2EC102CF"/>
    <w:rsid w:val="2ED33B5E"/>
    <w:rsid w:val="2F087CAC"/>
    <w:rsid w:val="2F191EB9"/>
    <w:rsid w:val="2F4800A8"/>
    <w:rsid w:val="2F5527C5"/>
    <w:rsid w:val="2FFD70E5"/>
    <w:rsid w:val="30087837"/>
    <w:rsid w:val="30112B90"/>
    <w:rsid w:val="30353483"/>
    <w:rsid w:val="30466CDD"/>
    <w:rsid w:val="304F36B8"/>
    <w:rsid w:val="30647164"/>
    <w:rsid w:val="30CB71E3"/>
    <w:rsid w:val="30F027A5"/>
    <w:rsid w:val="311C7A3E"/>
    <w:rsid w:val="312A215B"/>
    <w:rsid w:val="313E1E68"/>
    <w:rsid w:val="314B3E80"/>
    <w:rsid w:val="314D730A"/>
    <w:rsid w:val="31557195"/>
    <w:rsid w:val="316D2048"/>
    <w:rsid w:val="31994BEB"/>
    <w:rsid w:val="31D67BED"/>
    <w:rsid w:val="320B0E1C"/>
    <w:rsid w:val="32193F7E"/>
    <w:rsid w:val="32384404"/>
    <w:rsid w:val="3243100D"/>
    <w:rsid w:val="32560D2E"/>
    <w:rsid w:val="325D030E"/>
    <w:rsid w:val="32607DFF"/>
    <w:rsid w:val="329655CE"/>
    <w:rsid w:val="32A45F3D"/>
    <w:rsid w:val="32E91BA2"/>
    <w:rsid w:val="33161AC1"/>
    <w:rsid w:val="334D4C4C"/>
    <w:rsid w:val="338B0EAB"/>
    <w:rsid w:val="33CD3272"/>
    <w:rsid w:val="33E659E7"/>
    <w:rsid w:val="33ED124E"/>
    <w:rsid w:val="34086058"/>
    <w:rsid w:val="340F388A"/>
    <w:rsid w:val="34160775"/>
    <w:rsid w:val="34164C19"/>
    <w:rsid w:val="34192013"/>
    <w:rsid w:val="344D0617"/>
    <w:rsid w:val="345F3C5D"/>
    <w:rsid w:val="34E120D0"/>
    <w:rsid w:val="35352E7D"/>
    <w:rsid w:val="358931C8"/>
    <w:rsid w:val="35BA15D4"/>
    <w:rsid w:val="35BF4E3C"/>
    <w:rsid w:val="35CF69C9"/>
    <w:rsid w:val="35D94150"/>
    <w:rsid w:val="35F9034E"/>
    <w:rsid w:val="360B0081"/>
    <w:rsid w:val="363E0457"/>
    <w:rsid w:val="36851BE2"/>
    <w:rsid w:val="36A969F2"/>
    <w:rsid w:val="36BC0A6E"/>
    <w:rsid w:val="375B4CAE"/>
    <w:rsid w:val="37777B74"/>
    <w:rsid w:val="377F0D27"/>
    <w:rsid w:val="37B17D17"/>
    <w:rsid w:val="37C60704"/>
    <w:rsid w:val="37D22C05"/>
    <w:rsid w:val="3805122C"/>
    <w:rsid w:val="38064FA4"/>
    <w:rsid w:val="382B0567"/>
    <w:rsid w:val="386A108F"/>
    <w:rsid w:val="388303A3"/>
    <w:rsid w:val="391E2CCE"/>
    <w:rsid w:val="392751D2"/>
    <w:rsid w:val="396226AE"/>
    <w:rsid w:val="39924D42"/>
    <w:rsid w:val="39BA1BA2"/>
    <w:rsid w:val="39C0579B"/>
    <w:rsid w:val="39CB3760"/>
    <w:rsid w:val="39D30EB6"/>
    <w:rsid w:val="39D709A6"/>
    <w:rsid w:val="39DD23A8"/>
    <w:rsid w:val="3A3000B7"/>
    <w:rsid w:val="3A410516"/>
    <w:rsid w:val="3A5C0EAC"/>
    <w:rsid w:val="3A766468"/>
    <w:rsid w:val="3A7E52C6"/>
    <w:rsid w:val="3AA34D2C"/>
    <w:rsid w:val="3AFD61EB"/>
    <w:rsid w:val="3B031181"/>
    <w:rsid w:val="3B1874C8"/>
    <w:rsid w:val="3B4262F3"/>
    <w:rsid w:val="3B4402BD"/>
    <w:rsid w:val="3B697D24"/>
    <w:rsid w:val="3B8E1539"/>
    <w:rsid w:val="3B9308FD"/>
    <w:rsid w:val="3BB6283D"/>
    <w:rsid w:val="3BBD13C2"/>
    <w:rsid w:val="3BE455FD"/>
    <w:rsid w:val="3BE53CE3"/>
    <w:rsid w:val="3BE7582E"/>
    <w:rsid w:val="3C1F03E3"/>
    <w:rsid w:val="3C2957C7"/>
    <w:rsid w:val="3C776471"/>
    <w:rsid w:val="3C917532"/>
    <w:rsid w:val="3C9F32D2"/>
    <w:rsid w:val="3CAD59EE"/>
    <w:rsid w:val="3D565E44"/>
    <w:rsid w:val="3D7B3D3F"/>
    <w:rsid w:val="3D9651B6"/>
    <w:rsid w:val="3DBB238D"/>
    <w:rsid w:val="3DF02037"/>
    <w:rsid w:val="3E114F8D"/>
    <w:rsid w:val="3E530817"/>
    <w:rsid w:val="3E682515"/>
    <w:rsid w:val="3EA33B44"/>
    <w:rsid w:val="3EAD43CC"/>
    <w:rsid w:val="3EAF3CA0"/>
    <w:rsid w:val="3F0D09C6"/>
    <w:rsid w:val="3F3348D1"/>
    <w:rsid w:val="3F4F0FDF"/>
    <w:rsid w:val="3F6C1B91"/>
    <w:rsid w:val="3F7B0026"/>
    <w:rsid w:val="3FBF6165"/>
    <w:rsid w:val="3FD540D6"/>
    <w:rsid w:val="3FE91433"/>
    <w:rsid w:val="401C5365"/>
    <w:rsid w:val="403D52DB"/>
    <w:rsid w:val="405A5E8D"/>
    <w:rsid w:val="40953369"/>
    <w:rsid w:val="40B21825"/>
    <w:rsid w:val="40D0614F"/>
    <w:rsid w:val="40F57374"/>
    <w:rsid w:val="4100290D"/>
    <w:rsid w:val="412A3C09"/>
    <w:rsid w:val="412F10C8"/>
    <w:rsid w:val="4152524A"/>
    <w:rsid w:val="41650F8E"/>
    <w:rsid w:val="41C061C4"/>
    <w:rsid w:val="41E02A1B"/>
    <w:rsid w:val="423544BC"/>
    <w:rsid w:val="424B392C"/>
    <w:rsid w:val="42D9578F"/>
    <w:rsid w:val="43014CE6"/>
    <w:rsid w:val="43016A94"/>
    <w:rsid w:val="431247FD"/>
    <w:rsid w:val="43160791"/>
    <w:rsid w:val="431736BF"/>
    <w:rsid w:val="432664FB"/>
    <w:rsid w:val="433A3D54"/>
    <w:rsid w:val="436576EE"/>
    <w:rsid w:val="43AF64F0"/>
    <w:rsid w:val="43F47B16"/>
    <w:rsid w:val="43FF54A2"/>
    <w:rsid w:val="440436AF"/>
    <w:rsid w:val="44184CA3"/>
    <w:rsid w:val="443206BB"/>
    <w:rsid w:val="44384737"/>
    <w:rsid w:val="443C4228"/>
    <w:rsid w:val="444529B0"/>
    <w:rsid w:val="447B63D2"/>
    <w:rsid w:val="44AE49FA"/>
    <w:rsid w:val="44C45FCB"/>
    <w:rsid w:val="44D73F50"/>
    <w:rsid w:val="44E65F41"/>
    <w:rsid w:val="44F7014F"/>
    <w:rsid w:val="4504286C"/>
    <w:rsid w:val="452847AC"/>
    <w:rsid w:val="453313A1"/>
    <w:rsid w:val="453C2005"/>
    <w:rsid w:val="45815C6A"/>
    <w:rsid w:val="45AA29C9"/>
    <w:rsid w:val="45BC6CA2"/>
    <w:rsid w:val="462D44CC"/>
    <w:rsid w:val="46731A57"/>
    <w:rsid w:val="46753A21"/>
    <w:rsid w:val="46BA7686"/>
    <w:rsid w:val="470D5A07"/>
    <w:rsid w:val="47743CD8"/>
    <w:rsid w:val="47A3636C"/>
    <w:rsid w:val="47B304A5"/>
    <w:rsid w:val="47CF29ED"/>
    <w:rsid w:val="47E0136E"/>
    <w:rsid w:val="47E36768"/>
    <w:rsid w:val="481B23A6"/>
    <w:rsid w:val="48254FD3"/>
    <w:rsid w:val="482A083B"/>
    <w:rsid w:val="486E6E97"/>
    <w:rsid w:val="489363E0"/>
    <w:rsid w:val="48981C49"/>
    <w:rsid w:val="48CE7418"/>
    <w:rsid w:val="48DB1336"/>
    <w:rsid w:val="49543DC1"/>
    <w:rsid w:val="497D499A"/>
    <w:rsid w:val="49B04D70"/>
    <w:rsid w:val="49C2281B"/>
    <w:rsid w:val="49C2676B"/>
    <w:rsid w:val="49E30CA1"/>
    <w:rsid w:val="4A31544B"/>
    <w:rsid w:val="4A49144C"/>
    <w:rsid w:val="4A6A3254"/>
    <w:rsid w:val="4A7E09CA"/>
    <w:rsid w:val="4AC5484B"/>
    <w:rsid w:val="4AC7411F"/>
    <w:rsid w:val="4B092249"/>
    <w:rsid w:val="4B1F7EAC"/>
    <w:rsid w:val="4B3F45FD"/>
    <w:rsid w:val="4B46598C"/>
    <w:rsid w:val="4BD5286C"/>
    <w:rsid w:val="4BEA30EA"/>
    <w:rsid w:val="4BFD5F6C"/>
    <w:rsid w:val="4C2F696B"/>
    <w:rsid w:val="4C991AEB"/>
    <w:rsid w:val="4C995F8F"/>
    <w:rsid w:val="4CFB09F8"/>
    <w:rsid w:val="4D001B6A"/>
    <w:rsid w:val="4D3857A8"/>
    <w:rsid w:val="4D706CF0"/>
    <w:rsid w:val="4D87403A"/>
    <w:rsid w:val="4D895442"/>
    <w:rsid w:val="4D9C5D37"/>
    <w:rsid w:val="4DA92202"/>
    <w:rsid w:val="4DBA61BD"/>
    <w:rsid w:val="4DC31516"/>
    <w:rsid w:val="4DCB26AC"/>
    <w:rsid w:val="4DD74FC1"/>
    <w:rsid w:val="4DDE00FE"/>
    <w:rsid w:val="4DF55A52"/>
    <w:rsid w:val="4E4D0DDF"/>
    <w:rsid w:val="4E5B174E"/>
    <w:rsid w:val="4E5C7274"/>
    <w:rsid w:val="4EAD5D22"/>
    <w:rsid w:val="4EBD5F65"/>
    <w:rsid w:val="4ECA0682"/>
    <w:rsid w:val="4EF92648"/>
    <w:rsid w:val="4F0E67C1"/>
    <w:rsid w:val="4F170A32"/>
    <w:rsid w:val="4F271630"/>
    <w:rsid w:val="4F351F9F"/>
    <w:rsid w:val="4F8545A9"/>
    <w:rsid w:val="4F8D1DDB"/>
    <w:rsid w:val="4F91528A"/>
    <w:rsid w:val="4FB82BD0"/>
    <w:rsid w:val="4FCD667C"/>
    <w:rsid w:val="500E1C20"/>
    <w:rsid w:val="50104CF0"/>
    <w:rsid w:val="5015592D"/>
    <w:rsid w:val="5023629C"/>
    <w:rsid w:val="502F2E92"/>
    <w:rsid w:val="503C55AF"/>
    <w:rsid w:val="50454464"/>
    <w:rsid w:val="50462141"/>
    <w:rsid w:val="509176A9"/>
    <w:rsid w:val="50EE40EC"/>
    <w:rsid w:val="51143E36"/>
    <w:rsid w:val="5119144D"/>
    <w:rsid w:val="511C7748"/>
    <w:rsid w:val="514251FB"/>
    <w:rsid w:val="51475FBA"/>
    <w:rsid w:val="516B614C"/>
    <w:rsid w:val="51A72EFC"/>
    <w:rsid w:val="5237602E"/>
    <w:rsid w:val="52701540"/>
    <w:rsid w:val="52A03BD4"/>
    <w:rsid w:val="52B458D1"/>
    <w:rsid w:val="52DA3BA6"/>
    <w:rsid w:val="52DC2732"/>
    <w:rsid w:val="52E14C6F"/>
    <w:rsid w:val="532C36B9"/>
    <w:rsid w:val="537D13C3"/>
    <w:rsid w:val="53912CF7"/>
    <w:rsid w:val="539F032F"/>
    <w:rsid w:val="53C75190"/>
    <w:rsid w:val="53D004E8"/>
    <w:rsid w:val="53E06252"/>
    <w:rsid w:val="53F87A3F"/>
    <w:rsid w:val="53FC12DE"/>
    <w:rsid w:val="540F647E"/>
    <w:rsid w:val="54181E8F"/>
    <w:rsid w:val="545C1D7C"/>
    <w:rsid w:val="545D5D8A"/>
    <w:rsid w:val="548C6972"/>
    <w:rsid w:val="54907C78"/>
    <w:rsid w:val="54EB459D"/>
    <w:rsid w:val="54F93A55"/>
    <w:rsid w:val="550A7A2A"/>
    <w:rsid w:val="553E76D4"/>
    <w:rsid w:val="55486965"/>
    <w:rsid w:val="55A82D9F"/>
    <w:rsid w:val="55BF6A67"/>
    <w:rsid w:val="56220DA3"/>
    <w:rsid w:val="56334D5F"/>
    <w:rsid w:val="56372AA1"/>
    <w:rsid w:val="563A433F"/>
    <w:rsid w:val="567C6706"/>
    <w:rsid w:val="56B04601"/>
    <w:rsid w:val="56B934B6"/>
    <w:rsid w:val="56C6131C"/>
    <w:rsid w:val="56D007FF"/>
    <w:rsid w:val="56D4209E"/>
    <w:rsid w:val="56DC09D2"/>
    <w:rsid w:val="572A6162"/>
    <w:rsid w:val="574312B2"/>
    <w:rsid w:val="57E9601D"/>
    <w:rsid w:val="57EE3633"/>
    <w:rsid w:val="57F34C1D"/>
    <w:rsid w:val="57F81DBC"/>
    <w:rsid w:val="5800281C"/>
    <w:rsid w:val="580A1AEF"/>
    <w:rsid w:val="585909E6"/>
    <w:rsid w:val="58675193"/>
    <w:rsid w:val="58982D68"/>
    <w:rsid w:val="589C4E3D"/>
    <w:rsid w:val="58D72319"/>
    <w:rsid w:val="593C03CE"/>
    <w:rsid w:val="59545718"/>
    <w:rsid w:val="595B0854"/>
    <w:rsid w:val="596C2A61"/>
    <w:rsid w:val="598F6750"/>
    <w:rsid w:val="59B61F2F"/>
    <w:rsid w:val="59CF4D9E"/>
    <w:rsid w:val="59F56462"/>
    <w:rsid w:val="5A026F22"/>
    <w:rsid w:val="5A673229"/>
    <w:rsid w:val="5AC16BBF"/>
    <w:rsid w:val="5AF50835"/>
    <w:rsid w:val="5AFF16B3"/>
    <w:rsid w:val="5B694D7F"/>
    <w:rsid w:val="5B865931"/>
    <w:rsid w:val="5BE12E76"/>
    <w:rsid w:val="5C007491"/>
    <w:rsid w:val="5C3D3618"/>
    <w:rsid w:val="5C5050F1"/>
    <w:rsid w:val="5C563555"/>
    <w:rsid w:val="5C643EC4"/>
    <w:rsid w:val="5C904CB9"/>
    <w:rsid w:val="5CA72002"/>
    <w:rsid w:val="5CA73DB1"/>
    <w:rsid w:val="5CA97B29"/>
    <w:rsid w:val="5CB50DF3"/>
    <w:rsid w:val="5CD67877"/>
    <w:rsid w:val="5CDC7EFE"/>
    <w:rsid w:val="5CED4B49"/>
    <w:rsid w:val="5D0A44C1"/>
    <w:rsid w:val="5D1D4073"/>
    <w:rsid w:val="5D2378DB"/>
    <w:rsid w:val="5D556D91"/>
    <w:rsid w:val="5D5B5434"/>
    <w:rsid w:val="5D5C7206"/>
    <w:rsid w:val="5D5F28DD"/>
    <w:rsid w:val="5D79574D"/>
    <w:rsid w:val="5D804D2D"/>
    <w:rsid w:val="5DA622BA"/>
    <w:rsid w:val="5DBC6065"/>
    <w:rsid w:val="5DBC6826"/>
    <w:rsid w:val="5DE828D3"/>
    <w:rsid w:val="5DF272AD"/>
    <w:rsid w:val="5DF72B16"/>
    <w:rsid w:val="5E033269"/>
    <w:rsid w:val="5E0C65C1"/>
    <w:rsid w:val="5E345B18"/>
    <w:rsid w:val="5E413D91"/>
    <w:rsid w:val="5E512226"/>
    <w:rsid w:val="5E5D6E1D"/>
    <w:rsid w:val="5E6F6B50"/>
    <w:rsid w:val="5E761C8C"/>
    <w:rsid w:val="5E997B6B"/>
    <w:rsid w:val="5EC1556A"/>
    <w:rsid w:val="5F27742B"/>
    <w:rsid w:val="5F3F4774"/>
    <w:rsid w:val="5F593A88"/>
    <w:rsid w:val="5F6E6A27"/>
    <w:rsid w:val="5F812FDF"/>
    <w:rsid w:val="5FB011CE"/>
    <w:rsid w:val="5FDA59A0"/>
    <w:rsid w:val="5FF312E5"/>
    <w:rsid w:val="5FFB0BE5"/>
    <w:rsid w:val="60045A82"/>
    <w:rsid w:val="601D2D07"/>
    <w:rsid w:val="602A2D2E"/>
    <w:rsid w:val="60964868"/>
    <w:rsid w:val="60C56EFB"/>
    <w:rsid w:val="60CC2038"/>
    <w:rsid w:val="60D706FB"/>
    <w:rsid w:val="60E642E1"/>
    <w:rsid w:val="611B4D6D"/>
    <w:rsid w:val="615A11BD"/>
    <w:rsid w:val="615C160D"/>
    <w:rsid w:val="61C3168D"/>
    <w:rsid w:val="61E41603"/>
    <w:rsid w:val="61E82EA1"/>
    <w:rsid w:val="61EA6C19"/>
    <w:rsid w:val="61EE5FDE"/>
    <w:rsid w:val="62126170"/>
    <w:rsid w:val="621E2D67"/>
    <w:rsid w:val="62363C0E"/>
    <w:rsid w:val="6247406C"/>
    <w:rsid w:val="624B3430"/>
    <w:rsid w:val="626544F2"/>
    <w:rsid w:val="628506F0"/>
    <w:rsid w:val="62C31218"/>
    <w:rsid w:val="62CD5316"/>
    <w:rsid w:val="62E713AB"/>
    <w:rsid w:val="62E93375"/>
    <w:rsid w:val="62EA49F7"/>
    <w:rsid w:val="63224191"/>
    <w:rsid w:val="634001C3"/>
    <w:rsid w:val="634E142A"/>
    <w:rsid w:val="63B03E93"/>
    <w:rsid w:val="64243F39"/>
    <w:rsid w:val="642B3519"/>
    <w:rsid w:val="64410F8F"/>
    <w:rsid w:val="6457430E"/>
    <w:rsid w:val="647153D0"/>
    <w:rsid w:val="64B21544"/>
    <w:rsid w:val="64D4595F"/>
    <w:rsid w:val="64E738E4"/>
    <w:rsid w:val="64EF09EB"/>
    <w:rsid w:val="651641C9"/>
    <w:rsid w:val="65240694"/>
    <w:rsid w:val="652F0C9A"/>
    <w:rsid w:val="653463FD"/>
    <w:rsid w:val="655F0A2D"/>
    <w:rsid w:val="65A25A5D"/>
    <w:rsid w:val="65AC068A"/>
    <w:rsid w:val="65B55790"/>
    <w:rsid w:val="65CB4FB4"/>
    <w:rsid w:val="65D04378"/>
    <w:rsid w:val="65DA51F7"/>
    <w:rsid w:val="65DF6369"/>
    <w:rsid w:val="6612673F"/>
    <w:rsid w:val="665B6338"/>
    <w:rsid w:val="6663364D"/>
    <w:rsid w:val="669A0794"/>
    <w:rsid w:val="66B5531C"/>
    <w:rsid w:val="66F83B86"/>
    <w:rsid w:val="66FB3677"/>
    <w:rsid w:val="67184229"/>
    <w:rsid w:val="672C7CD4"/>
    <w:rsid w:val="67380427"/>
    <w:rsid w:val="673E15FA"/>
    <w:rsid w:val="673E3563"/>
    <w:rsid w:val="675B2367"/>
    <w:rsid w:val="676B3410"/>
    <w:rsid w:val="67D83417"/>
    <w:rsid w:val="67F85E08"/>
    <w:rsid w:val="680F21F8"/>
    <w:rsid w:val="68696C78"/>
    <w:rsid w:val="688F22C8"/>
    <w:rsid w:val="68AB0000"/>
    <w:rsid w:val="68CF7992"/>
    <w:rsid w:val="68D73C6F"/>
    <w:rsid w:val="69194288"/>
    <w:rsid w:val="69272501"/>
    <w:rsid w:val="692A4D3E"/>
    <w:rsid w:val="694C01BA"/>
    <w:rsid w:val="69B31FE7"/>
    <w:rsid w:val="69D70B50"/>
    <w:rsid w:val="6A334ED5"/>
    <w:rsid w:val="6A3C1FDC"/>
    <w:rsid w:val="6A4672C3"/>
    <w:rsid w:val="6A6B466F"/>
    <w:rsid w:val="6ABE0C43"/>
    <w:rsid w:val="6AC83870"/>
    <w:rsid w:val="6ACD0E86"/>
    <w:rsid w:val="6AE12B83"/>
    <w:rsid w:val="6B1540E6"/>
    <w:rsid w:val="6B2F774A"/>
    <w:rsid w:val="6B362ECF"/>
    <w:rsid w:val="6B43383E"/>
    <w:rsid w:val="6B6F1F3D"/>
    <w:rsid w:val="6B713F07"/>
    <w:rsid w:val="6B930BEB"/>
    <w:rsid w:val="6BD85D34"/>
    <w:rsid w:val="6BE97F42"/>
    <w:rsid w:val="6BEA3CBA"/>
    <w:rsid w:val="6C231513"/>
    <w:rsid w:val="6C5D623A"/>
    <w:rsid w:val="6C613F7C"/>
    <w:rsid w:val="6C871509"/>
    <w:rsid w:val="6CAE0F1C"/>
    <w:rsid w:val="6CB73343"/>
    <w:rsid w:val="6CC56039"/>
    <w:rsid w:val="6CD134F8"/>
    <w:rsid w:val="6CFB3AF1"/>
    <w:rsid w:val="6D2356D5"/>
    <w:rsid w:val="6D5533B5"/>
    <w:rsid w:val="6D713AA7"/>
    <w:rsid w:val="6D9E2FAE"/>
    <w:rsid w:val="6DB51D4F"/>
    <w:rsid w:val="6DCE5641"/>
    <w:rsid w:val="6DE05374"/>
    <w:rsid w:val="6DF94E2B"/>
    <w:rsid w:val="6E235828"/>
    <w:rsid w:val="6E25722B"/>
    <w:rsid w:val="6E3F209B"/>
    <w:rsid w:val="6E4F29B0"/>
    <w:rsid w:val="6E95615F"/>
    <w:rsid w:val="6EC151A6"/>
    <w:rsid w:val="6ED547AD"/>
    <w:rsid w:val="6EE82732"/>
    <w:rsid w:val="6F40431D"/>
    <w:rsid w:val="6F4638FD"/>
    <w:rsid w:val="6F653D83"/>
    <w:rsid w:val="6F885CC3"/>
    <w:rsid w:val="6FC0545D"/>
    <w:rsid w:val="6FC7059A"/>
    <w:rsid w:val="70027824"/>
    <w:rsid w:val="70082960"/>
    <w:rsid w:val="700B13E5"/>
    <w:rsid w:val="701B08E6"/>
    <w:rsid w:val="701F2FE4"/>
    <w:rsid w:val="702A28D7"/>
    <w:rsid w:val="70725946"/>
    <w:rsid w:val="708244C1"/>
    <w:rsid w:val="70B825D8"/>
    <w:rsid w:val="70C26FB3"/>
    <w:rsid w:val="70D0347E"/>
    <w:rsid w:val="70D32F6E"/>
    <w:rsid w:val="70D867D7"/>
    <w:rsid w:val="710E21F8"/>
    <w:rsid w:val="711D41EA"/>
    <w:rsid w:val="71535B1B"/>
    <w:rsid w:val="7157594D"/>
    <w:rsid w:val="717464FF"/>
    <w:rsid w:val="71A539C0"/>
    <w:rsid w:val="71AF7537"/>
    <w:rsid w:val="71D074AE"/>
    <w:rsid w:val="71FD64F5"/>
    <w:rsid w:val="7251239D"/>
    <w:rsid w:val="72BB2DF6"/>
    <w:rsid w:val="72CE7E91"/>
    <w:rsid w:val="73214465"/>
    <w:rsid w:val="735D6064"/>
    <w:rsid w:val="736350C5"/>
    <w:rsid w:val="73970283"/>
    <w:rsid w:val="739A7D73"/>
    <w:rsid w:val="73CD639B"/>
    <w:rsid w:val="73EF6311"/>
    <w:rsid w:val="741144D9"/>
    <w:rsid w:val="74E7348C"/>
    <w:rsid w:val="74F439A9"/>
    <w:rsid w:val="75137DDD"/>
    <w:rsid w:val="75287D2D"/>
    <w:rsid w:val="75491A51"/>
    <w:rsid w:val="75595ADB"/>
    <w:rsid w:val="756A7614"/>
    <w:rsid w:val="75C83A91"/>
    <w:rsid w:val="76165DD7"/>
    <w:rsid w:val="762229CE"/>
    <w:rsid w:val="762A1882"/>
    <w:rsid w:val="762E31B4"/>
    <w:rsid w:val="76674F2A"/>
    <w:rsid w:val="76733229"/>
    <w:rsid w:val="76A03CDB"/>
    <w:rsid w:val="76DD06A3"/>
    <w:rsid w:val="77000835"/>
    <w:rsid w:val="776D18C9"/>
    <w:rsid w:val="780103C1"/>
    <w:rsid w:val="781400F4"/>
    <w:rsid w:val="781E0F73"/>
    <w:rsid w:val="7826607A"/>
    <w:rsid w:val="7836450F"/>
    <w:rsid w:val="787943FB"/>
    <w:rsid w:val="789B6A68"/>
    <w:rsid w:val="78AD0549"/>
    <w:rsid w:val="78DA7590"/>
    <w:rsid w:val="78E0091E"/>
    <w:rsid w:val="79002D6F"/>
    <w:rsid w:val="792E51E6"/>
    <w:rsid w:val="796450AB"/>
    <w:rsid w:val="797F3C93"/>
    <w:rsid w:val="799040F2"/>
    <w:rsid w:val="79984086"/>
    <w:rsid w:val="799A6D1F"/>
    <w:rsid w:val="79B06543"/>
    <w:rsid w:val="79DC7338"/>
    <w:rsid w:val="79E32474"/>
    <w:rsid w:val="79E47F9A"/>
    <w:rsid w:val="7A164167"/>
    <w:rsid w:val="7A3031E0"/>
    <w:rsid w:val="7A3C732E"/>
    <w:rsid w:val="7A4E7799"/>
    <w:rsid w:val="7A70182E"/>
    <w:rsid w:val="7A9674E6"/>
    <w:rsid w:val="7AF4420D"/>
    <w:rsid w:val="7B876E2F"/>
    <w:rsid w:val="7BA45C33"/>
    <w:rsid w:val="7BB120FE"/>
    <w:rsid w:val="7BC472F5"/>
    <w:rsid w:val="7BE97AEA"/>
    <w:rsid w:val="7BF00E78"/>
    <w:rsid w:val="7BF43918"/>
    <w:rsid w:val="7C376AA7"/>
    <w:rsid w:val="7C3E7E36"/>
    <w:rsid w:val="7C4B2553"/>
    <w:rsid w:val="7C705B15"/>
    <w:rsid w:val="7C743857"/>
    <w:rsid w:val="7C8415C1"/>
    <w:rsid w:val="7C8D66C7"/>
    <w:rsid w:val="7CE0713F"/>
    <w:rsid w:val="7CF2644D"/>
    <w:rsid w:val="7D4274B2"/>
    <w:rsid w:val="7D6964AF"/>
    <w:rsid w:val="7D935F5F"/>
    <w:rsid w:val="7DA424B8"/>
    <w:rsid w:val="7DB303AF"/>
    <w:rsid w:val="7DC10D1E"/>
    <w:rsid w:val="7DE62533"/>
    <w:rsid w:val="7DF764EE"/>
    <w:rsid w:val="7E017895"/>
    <w:rsid w:val="7E192908"/>
    <w:rsid w:val="7E8A7362"/>
    <w:rsid w:val="7E9A331D"/>
    <w:rsid w:val="7EB937A4"/>
    <w:rsid w:val="7EE00A14"/>
    <w:rsid w:val="7EE30820"/>
    <w:rsid w:val="7FA77AA0"/>
    <w:rsid w:val="7FB57528"/>
    <w:rsid w:val="7FBF128D"/>
    <w:rsid w:val="7FD36A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80" w:lineRule="exact"/>
      <w:ind w:firstLine="420" w:firstLineChars="200"/>
      <w:jc w:val="both"/>
    </w:pPr>
    <w:rPr>
      <w:rFonts w:ascii="Calibri" w:hAnsi="Calibri" w:eastAsia="宋体" w:cs="Times New Roman"/>
      <w:kern w:val="2"/>
      <w:sz w:val="21"/>
      <w:szCs w:val="24"/>
      <w:lang w:val="en-US" w:eastAsia="zh-CN" w:bidi="ar-SA"/>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autoRedefine/>
    <w:unhideWhenUsed/>
    <w:qFormat/>
    <w:uiPriority w:val="0"/>
    <w:pPr>
      <w:jc w:val="left"/>
    </w:pPr>
  </w:style>
  <w:style w:type="paragraph" w:styleId="3">
    <w:name w:val="Body Text"/>
    <w:basedOn w:val="1"/>
    <w:autoRedefine/>
    <w:qFormat/>
    <w:uiPriority w:val="1"/>
    <w:pPr>
      <w:ind w:left="108"/>
    </w:pPr>
    <w:rPr>
      <w:rFonts w:ascii="仿宋" w:hAnsi="仿宋" w:eastAsia="仿宋" w:cs="仿宋"/>
      <w:sz w:val="32"/>
      <w:szCs w:val="32"/>
      <w:lang w:val="zh-CN" w:bidi="zh-CN"/>
    </w:rPr>
  </w:style>
  <w:style w:type="paragraph" w:styleId="4">
    <w:name w:val="Plain Text"/>
    <w:basedOn w:val="1"/>
    <w:autoRedefine/>
    <w:qFormat/>
    <w:uiPriority w:val="99"/>
    <w:rPr>
      <w:rFonts w:ascii="宋体" w:hAnsi="Courier New" w:cs="黑体"/>
      <w:szCs w:val="21"/>
    </w:rPr>
  </w:style>
  <w:style w:type="paragraph" w:styleId="5">
    <w:name w:val="Date"/>
    <w:basedOn w:val="1"/>
    <w:next w:val="1"/>
    <w:link w:val="30"/>
    <w:qFormat/>
    <w:uiPriority w:val="0"/>
    <w:pPr>
      <w:ind w:left="100" w:leftChars="2500"/>
    </w:pPr>
  </w:style>
  <w:style w:type="paragraph" w:styleId="6">
    <w:name w:val="Balloon Text"/>
    <w:basedOn w:val="1"/>
    <w:link w:val="24"/>
    <w:autoRedefine/>
    <w:semiHidden/>
    <w:unhideWhenUsed/>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Body Text Indent 3"/>
    <w:basedOn w:val="1"/>
    <w:autoRedefine/>
    <w:qFormat/>
    <w:uiPriority w:val="0"/>
    <w:pPr>
      <w:spacing w:line="600" w:lineRule="exact"/>
      <w:ind w:firstLine="560"/>
    </w:pPr>
    <w:rPr>
      <w:rFonts w:ascii="仿宋_GB2312" w:eastAsia="仿宋_GB2312"/>
      <w:sz w:val="28"/>
    </w:rPr>
  </w:style>
  <w:style w:type="paragraph" w:styleId="10">
    <w:name w:val="Normal (Web)"/>
    <w:basedOn w:val="1"/>
    <w:semiHidden/>
    <w:unhideWhenUsed/>
    <w:qFormat/>
    <w:uiPriority w:val="0"/>
    <w:pPr>
      <w:spacing w:beforeAutospacing="1" w:afterAutospacing="1"/>
      <w:jc w:val="left"/>
    </w:pPr>
    <w:rPr>
      <w:kern w:val="0"/>
      <w:sz w:val="24"/>
    </w:rPr>
  </w:style>
  <w:style w:type="paragraph" w:styleId="11">
    <w:name w:val="annotation subject"/>
    <w:basedOn w:val="2"/>
    <w:next w:val="2"/>
    <w:link w:val="22"/>
    <w:autoRedefine/>
    <w:semiHidden/>
    <w:unhideWhenUsed/>
    <w:qFormat/>
    <w:uiPriority w:val="0"/>
    <w:rPr>
      <w:b/>
      <w:bCs/>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semiHidden/>
    <w:unhideWhenUsed/>
    <w:qFormat/>
    <w:uiPriority w:val="0"/>
  </w:style>
  <w:style w:type="character" w:styleId="17">
    <w:name w:val="FollowedHyperlink"/>
    <w:basedOn w:val="14"/>
    <w:autoRedefine/>
    <w:qFormat/>
    <w:uiPriority w:val="0"/>
    <w:rPr>
      <w:color w:val="800080" w:themeColor="followedHyperlink"/>
      <w:u w:val="single"/>
      <w14:textFill>
        <w14:solidFill>
          <w14:schemeClr w14:val="folHlink"/>
        </w14:solidFill>
      </w14:textFill>
    </w:rPr>
  </w:style>
  <w:style w:type="character" w:styleId="18">
    <w:name w:val="Hyperlink"/>
    <w:basedOn w:val="14"/>
    <w:autoRedefine/>
    <w:qFormat/>
    <w:uiPriority w:val="0"/>
    <w:rPr>
      <w:color w:val="0000FF"/>
      <w:u w:val="single"/>
    </w:rPr>
  </w:style>
  <w:style w:type="character" w:styleId="19">
    <w:name w:val="annotation reference"/>
    <w:basedOn w:val="14"/>
    <w:autoRedefine/>
    <w:semiHidden/>
    <w:unhideWhenUsed/>
    <w:qFormat/>
    <w:uiPriority w:val="0"/>
    <w:rPr>
      <w:sz w:val="21"/>
      <w:szCs w:val="21"/>
    </w:rPr>
  </w:style>
  <w:style w:type="paragraph" w:styleId="20">
    <w:name w:val="List Paragraph"/>
    <w:basedOn w:val="1"/>
    <w:autoRedefine/>
    <w:qFormat/>
    <w:uiPriority w:val="99"/>
  </w:style>
  <w:style w:type="character" w:customStyle="1" w:styleId="21">
    <w:name w:val="批注文字 字符"/>
    <w:basedOn w:val="14"/>
    <w:link w:val="2"/>
    <w:autoRedefine/>
    <w:qFormat/>
    <w:uiPriority w:val="0"/>
    <w:rPr>
      <w:rFonts w:ascii="Calibri" w:hAnsi="Calibri"/>
      <w:kern w:val="2"/>
      <w:sz w:val="21"/>
      <w:szCs w:val="24"/>
    </w:rPr>
  </w:style>
  <w:style w:type="character" w:customStyle="1" w:styleId="22">
    <w:name w:val="批注主题 字符"/>
    <w:basedOn w:val="21"/>
    <w:link w:val="11"/>
    <w:autoRedefine/>
    <w:semiHidden/>
    <w:qFormat/>
    <w:uiPriority w:val="0"/>
    <w:rPr>
      <w:rFonts w:ascii="Calibri" w:hAnsi="Calibri"/>
      <w:b/>
      <w:bCs/>
      <w:kern w:val="2"/>
      <w:sz w:val="21"/>
      <w:szCs w:val="24"/>
    </w:rPr>
  </w:style>
  <w:style w:type="paragraph" w:customStyle="1" w:styleId="23">
    <w:name w:val="Revision1"/>
    <w:autoRedefine/>
    <w:hidden/>
    <w:semiHidden/>
    <w:qFormat/>
    <w:uiPriority w:val="99"/>
    <w:rPr>
      <w:rFonts w:ascii="Calibri" w:hAnsi="Calibri" w:eastAsia="宋体" w:cs="Times New Roman"/>
      <w:kern w:val="2"/>
      <w:sz w:val="21"/>
      <w:szCs w:val="24"/>
      <w:lang w:val="en-US" w:eastAsia="zh-CN" w:bidi="ar-SA"/>
    </w:rPr>
  </w:style>
  <w:style w:type="character" w:customStyle="1" w:styleId="24">
    <w:name w:val="批注框文本 字符"/>
    <w:basedOn w:val="14"/>
    <w:link w:val="6"/>
    <w:autoRedefine/>
    <w:semiHidden/>
    <w:qFormat/>
    <w:uiPriority w:val="0"/>
    <w:rPr>
      <w:rFonts w:ascii="Calibri" w:hAnsi="Calibri"/>
      <w:kern w:val="2"/>
      <w:sz w:val="18"/>
      <w:szCs w:val="18"/>
    </w:rPr>
  </w:style>
  <w:style w:type="character" w:customStyle="1" w:styleId="25">
    <w:name w:val="未处理的提及1"/>
    <w:basedOn w:val="14"/>
    <w:autoRedefine/>
    <w:semiHidden/>
    <w:unhideWhenUsed/>
    <w:qFormat/>
    <w:uiPriority w:val="99"/>
    <w:rPr>
      <w:color w:val="605E5C"/>
      <w:shd w:val="clear" w:color="auto" w:fill="E1DFDD"/>
    </w:rPr>
  </w:style>
  <w:style w:type="paragraph" w:customStyle="1" w:styleId="26">
    <w:name w:val="Revision2"/>
    <w:autoRedefine/>
    <w:hidden/>
    <w:unhideWhenUsed/>
    <w:qFormat/>
    <w:uiPriority w:val="99"/>
    <w:rPr>
      <w:rFonts w:ascii="Calibri" w:hAnsi="Calibri" w:eastAsia="宋体" w:cs="Times New Roman"/>
      <w:kern w:val="2"/>
      <w:sz w:val="21"/>
      <w:szCs w:val="24"/>
      <w:lang w:val="en-US" w:eastAsia="zh-CN" w:bidi="ar-SA"/>
    </w:rPr>
  </w:style>
  <w:style w:type="paragraph" w:customStyle="1" w:styleId="27">
    <w:name w:val="修订1"/>
    <w:autoRedefine/>
    <w:hidden/>
    <w:unhideWhenUsed/>
    <w:qFormat/>
    <w:uiPriority w:val="99"/>
    <w:rPr>
      <w:rFonts w:ascii="Calibri" w:hAnsi="Calibri" w:eastAsia="宋体" w:cs="Times New Roman"/>
      <w:kern w:val="2"/>
      <w:sz w:val="21"/>
      <w:szCs w:val="24"/>
      <w:lang w:val="en-US" w:eastAsia="zh-CN" w:bidi="ar-SA"/>
    </w:rPr>
  </w:style>
  <w:style w:type="paragraph" w:customStyle="1" w:styleId="28">
    <w:name w:val="修订2"/>
    <w:hidden/>
    <w:unhideWhenUsed/>
    <w:qFormat/>
    <w:uiPriority w:val="99"/>
    <w:rPr>
      <w:rFonts w:ascii="Calibri" w:hAnsi="Calibri" w:eastAsia="宋体" w:cs="Times New Roman"/>
      <w:kern w:val="2"/>
      <w:sz w:val="21"/>
      <w:szCs w:val="24"/>
      <w:lang w:val="en-US" w:eastAsia="zh-CN" w:bidi="ar-SA"/>
    </w:rPr>
  </w:style>
  <w:style w:type="paragraph" w:customStyle="1" w:styleId="29">
    <w:name w:val="Revision"/>
    <w:hidden/>
    <w:unhideWhenUsed/>
    <w:qFormat/>
    <w:uiPriority w:val="99"/>
    <w:rPr>
      <w:rFonts w:ascii="Calibri" w:hAnsi="Calibri" w:eastAsia="宋体" w:cs="Times New Roman"/>
      <w:kern w:val="2"/>
      <w:sz w:val="21"/>
      <w:szCs w:val="24"/>
      <w:lang w:val="en-US" w:eastAsia="zh-CN" w:bidi="ar-SA"/>
    </w:rPr>
  </w:style>
  <w:style w:type="character" w:customStyle="1" w:styleId="30">
    <w:name w:val="日期 字符"/>
    <w:basedOn w:val="14"/>
    <w:link w:val="5"/>
    <w:qFormat/>
    <w:uiPriority w:val="0"/>
    <w:rPr>
      <w:rFonts w:ascii="Calibri" w:hAnsi="Calibri"/>
      <w:kern w:val="2"/>
      <w:sz w:val="21"/>
      <w:szCs w:val="24"/>
    </w:rPr>
  </w:style>
  <w:style w:type="character" w:customStyle="1" w:styleId="31">
    <w:name w:val="Unresolved Mention"/>
    <w:basedOn w:val="1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2.emf"/><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Organization</Company>
  <Pages>43</Pages>
  <Words>5952</Words>
  <Characters>18010</Characters>
  <Lines>1019</Lines>
  <Paragraphs>384</Paragraphs>
  <TotalTime>249</TotalTime>
  <ScaleCrop>false</ScaleCrop>
  <LinksUpToDate>false</LinksUpToDate>
  <CharactersWithSpaces>20212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2024-03-14T00:26:00Z</dcterms:created>
  <dc:creator>Administrator</dc:creator>
  <cp:lastModifiedBy>Lil_Jetm</cp:lastModifiedBy>
  <cp:lastPrinted>2019-02-18T03:24:00Z</cp:lastPrinted>
  <dcterms:modified xsi:type="dcterms:W3CDTF">2026-02-09T01:43:15Z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8FA59BC4D15247A0A4FCA99A4908C9C5_13</vt:lpwstr>
  </property>
  <property fmtid="{D5CDD505-2E9C-101B-9397-08002B2CF9AE}" pid="4" name="KSOTemplateDocerSaveRecord">
    <vt:lpwstr>eyJoZGlkIjoiZmY4MDVhNGNlZWQwNTM3NzU0ZjA3MDA4MjM1M2Y3MDIiLCJ1c2VySWQiOiIxMTQzNzk0Njk0In0=</vt:lpwstr>
  </property>
  <property fmtid="{D5CDD505-2E9C-101B-9397-08002B2CF9AE}" pid="5" name="MSIP_Label_defa4170-0d19-0005-0004-bc88714345d2_Enabled">
    <vt:lpwstr>true</vt:lpwstr>
  </property>
  <property fmtid="{D5CDD505-2E9C-101B-9397-08002B2CF9AE}" pid="6" name="MSIP_Label_defa4170-0d19-0005-0004-bc88714345d2_SetDate">
    <vt:lpwstr>2026-01-21T03:10:25Z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ad380dd1-3e89-4619-9380-c1c62e79786b</vt:lpwstr>
  </property>
  <property fmtid="{D5CDD505-2E9C-101B-9397-08002B2CF9AE}" pid="10" name="MSIP_Label_defa4170-0d19-0005-0004-bc88714345d2_ActionId">
    <vt:lpwstr>a2ea347a-a3e6-467d-9090-156bf5e41ab4</vt:lpwstr>
  </property>
  <property fmtid="{D5CDD505-2E9C-101B-9397-08002B2CF9AE}" pid="11" name="MSIP_Label_defa4170-0d19-0005-0004-bc88714345d2_ContentBits">
    <vt:lpwstr>0</vt:lpwstr>
  </property>
  <property fmtid="{D5CDD505-2E9C-101B-9397-08002B2CF9AE}" pid="12" name="MSIP_Label_defa4170-0d19-0005-0004-bc88714345d2_Tag">
    <vt:lpwstr>50, 3, 0, 1</vt:lpwstr>
  </property>
</Properties>
</file>